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7B63A" w14:textId="027EC9A9" w:rsidR="00873E2E" w:rsidRPr="0045736B" w:rsidRDefault="00873E2E" w:rsidP="00E9075B">
      <w:pPr>
        <w:jc w:val="center"/>
        <w:rPr>
          <w:b/>
          <w:bCs/>
          <w:sz w:val="28"/>
        </w:rPr>
      </w:pPr>
      <w:r w:rsidRPr="0045736B">
        <w:rPr>
          <w:b/>
          <w:bCs/>
          <w:sz w:val="28"/>
        </w:rPr>
        <w:t xml:space="preserve">Replication kit for the paper: </w:t>
      </w:r>
      <w:r w:rsidRPr="0045736B">
        <w:rPr>
          <w:b/>
          <w:bCs/>
          <w:sz w:val="28"/>
        </w:rPr>
        <w:br/>
        <w:t>“</w:t>
      </w:r>
      <w:r w:rsidR="00E960B2">
        <w:rPr>
          <w:b/>
          <w:bCs/>
          <w:sz w:val="28"/>
        </w:rPr>
        <w:t>Tax Administration vs. Tax Rates</w:t>
      </w:r>
      <w:r w:rsidRPr="0045736B">
        <w:rPr>
          <w:b/>
          <w:bCs/>
          <w:sz w:val="28"/>
        </w:rPr>
        <w:t xml:space="preserve">: </w:t>
      </w:r>
      <w:r w:rsidRPr="0045736B">
        <w:rPr>
          <w:b/>
          <w:bCs/>
          <w:sz w:val="28"/>
        </w:rPr>
        <w:br/>
      </w:r>
      <w:r w:rsidR="00E960B2">
        <w:rPr>
          <w:b/>
          <w:bCs/>
          <w:sz w:val="28"/>
        </w:rPr>
        <w:t>Evidence from Corporate Taxation in Indonesia</w:t>
      </w:r>
      <w:r w:rsidRPr="0045736B">
        <w:rPr>
          <w:b/>
          <w:bCs/>
          <w:sz w:val="28"/>
        </w:rPr>
        <w:t>”</w:t>
      </w:r>
    </w:p>
    <w:p w14:paraId="59669175" w14:textId="77777777" w:rsidR="00873E2E" w:rsidRPr="00573574" w:rsidRDefault="00873E2E" w:rsidP="00E9075B">
      <w:pPr>
        <w:widowControl w:val="0"/>
        <w:jc w:val="center"/>
        <w:rPr>
          <w:iCs/>
          <w:snapToGrid w:val="0"/>
        </w:rPr>
      </w:pPr>
    </w:p>
    <w:p w14:paraId="4EE70CCB" w14:textId="25996741" w:rsidR="00873E2E" w:rsidRPr="00573574" w:rsidRDefault="008A71AA" w:rsidP="00E9075B">
      <w:pPr>
        <w:widowControl w:val="0"/>
        <w:jc w:val="center"/>
        <w:rPr>
          <w:iCs/>
          <w:snapToGrid w:val="0"/>
        </w:rPr>
      </w:pPr>
      <w:r>
        <w:rPr>
          <w:iCs/>
          <w:snapToGrid w:val="0"/>
        </w:rPr>
        <w:t>M. Chatib Basri</w:t>
      </w:r>
      <w:r w:rsidR="00873E2E" w:rsidRPr="00573574">
        <w:rPr>
          <w:iCs/>
          <w:snapToGrid w:val="0"/>
        </w:rPr>
        <w:t xml:space="preserve">, </w:t>
      </w:r>
      <w:r>
        <w:rPr>
          <w:iCs/>
          <w:snapToGrid w:val="0"/>
        </w:rPr>
        <w:t>University of Indonesia</w:t>
      </w:r>
    </w:p>
    <w:p w14:paraId="10E2B90A" w14:textId="4030F2A4" w:rsidR="00873E2E" w:rsidRPr="00573574" w:rsidRDefault="008A71AA" w:rsidP="00E9075B">
      <w:pPr>
        <w:widowControl w:val="0"/>
        <w:jc w:val="center"/>
        <w:rPr>
          <w:iCs/>
          <w:snapToGrid w:val="0"/>
        </w:rPr>
      </w:pPr>
      <w:r>
        <w:rPr>
          <w:iCs/>
          <w:snapToGrid w:val="0"/>
        </w:rPr>
        <w:t>Mayara Felix</w:t>
      </w:r>
      <w:r w:rsidR="00873E2E" w:rsidRPr="00573574">
        <w:rPr>
          <w:iCs/>
          <w:snapToGrid w:val="0"/>
        </w:rPr>
        <w:t xml:space="preserve">, </w:t>
      </w:r>
      <w:r w:rsidR="00422081">
        <w:rPr>
          <w:iCs/>
          <w:snapToGrid w:val="0"/>
        </w:rPr>
        <w:t>MIT</w:t>
      </w:r>
    </w:p>
    <w:p w14:paraId="64E180AF" w14:textId="77777777" w:rsidR="00873E2E" w:rsidRPr="00573574" w:rsidRDefault="00873E2E" w:rsidP="00E9075B">
      <w:pPr>
        <w:widowControl w:val="0"/>
        <w:jc w:val="center"/>
        <w:rPr>
          <w:iCs/>
          <w:snapToGrid w:val="0"/>
        </w:rPr>
      </w:pPr>
      <w:r w:rsidRPr="00573574">
        <w:rPr>
          <w:iCs/>
          <w:snapToGrid w:val="0"/>
        </w:rPr>
        <w:t>Rema Hanna, Harvard University</w:t>
      </w:r>
    </w:p>
    <w:p w14:paraId="5CD18296" w14:textId="00C0A726" w:rsidR="00873E2E" w:rsidRPr="00573574" w:rsidRDefault="00873E2E" w:rsidP="00896A22">
      <w:pPr>
        <w:widowControl w:val="0"/>
        <w:jc w:val="center"/>
      </w:pPr>
      <w:r w:rsidRPr="00573574">
        <w:rPr>
          <w:iCs/>
          <w:snapToGrid w:val="0"/>
        </w:rPr>
        <w:t>Benjamin A. Olken, MIT</w:t>
      </w:r>
    </w:p>
    <w:p w14:paraId="6C8BA03D" w14:textId="77777777" w:rsidR="00873E2E" w:rsidRPr="00573574" w:rsidRDefault="00873E2E" w:rsidP="00E9075B">
      <w:pPr>
        <w:autoSpaceDE w:val="0"/>
        <w:autoSpaceDN w:val="0"/>
        <w:adjustRightInd w:val="0"/>
      </w:pPr>
    </w:p>
    <w:p w14:paraId="438F25A4" w14:textId="77777777" w:rsidR="00873E2E" w:rsidRPr="00573574" w:rsidRDefault="00873E2E" w:rsidP="00E9075B">
      <w:pPr>
        <w:autoSpaceDE w:val="0"/>
        <w:autoSpaceDN w:val="0"/>
        <w:adjustRightInd w:val="0"/>
      </w:pPr>
    </w:p>
    <w:p w14:paraId="65A3EA8E" w14:textId="79D91B11" w:rsidR="00873E2E" w:rsidRPr="00573574" w:rsidRDefault="00873E2E" w:rsidP="00E9075B">
      <w:pPr>
        <w:autoSpaceDE w:val="0"/>
        <w:autoSpaceDN w:val="0"/>
        <w:adjustRightInd w:val="0"/>
        <w:jc w:val="both"/>
      </w:pPr>
      <w:r w:rsidRPr="00573574">
        <w:t>This is the documentation for the replication kit for the paper “</w:t>
      </w:r>
      <w:r w:rsidR="00417692">
        <w:t>Tax Administration vs. Tax Rates: Evidence from Corporate Taxation in Indonesia</w:t>
      </w:r>
      <w:r w:rsidRPr="00573574">
        <w:t xml:space="preserve">.” It contains a data availability statement, detailing the source and accessibility of the data used in the </w:t>
      </w:r>
      <w:r w:rsidR="008B41B1" w:rsidRPr="00573574">
        <w:t>paper</w:t>
      </w:r>
      <w:r w:rsidRPr="00573574">
        <w:t xml:space="preserve">, as well as </w:t>
      </w:r>
      <w:r w:rsidR="008B41B1" w:rsidRPr="00573574">
        <w:t>replication instructions</w:t>
      </w:r>
      <w:r w:rsidRPr="00573574">
        <w:t>.</w:t>
      </w:r>
    </w:p>
    <w:p w14:paraId="5C6A2B97" w14:textId="77777777" w:rsidR="00873E2E" w:rsidRPr="00573574" w:rsidRDefault="00873E2E" w:rsidP="00E9075B">
      <w:pPr>
        <w:autoSpaceDE w:val="0"/>
        <w:autoSpaceDN w:val="0"/>
        <w:adjustRightInd w:val="0"/>
      </w:pPr>
    </w:p>
    <w:p w14:paraId="7017302C" w14:textId="77777777" w:rsidR="00873E2E" w:rsidRPr="00573574" w:rsidRDefault="00873E2E" w:rsidP="00E9075B">
      <w:pPr>
        <w:autoSpaceDE w:val="0"/>
        <w:autoSpaceDN w:val="0"/>
        <w:adjustRightInd w:val="0"/>
      </w:pPr>
    </w:p>
    <w:p w14:paraId="449FEC8A" w14:textId="77777777" w:rsidR="00873E2E" w:rsidRPr="00573574" w:rsidRDefault="00873E2E" w:rsidP="00E9075B">
      <w:pPr>
        <w:autoSpaceDE w:val="0"/>
        <w:autoSpaceDN w:val="0"/>
        <w:adjustRightInd w:val="0"/>
      </w:pPr>
    </w:p>
    <w:p w14:paraId="46423AFB" w14:textId="77777777" w:rsidR="00873E2E" w:rsidRPr="00A546D8" w:rsidRDefault="00A546D8" w:rsidP="00E9075B">
      <w:pPr>
        <w:autoSpaceDE w:val="0"/>
        <w:autoSpaceDN w:val="0"/>
        <w:adjustRightInd w:val="0"/>
        <w:rPr>
          <w:b/>
          <w:bCs/>
          <w:sz w:val="28"/>
        </w:rPr>
      </w:pPr>
      <w:r>
        <w:rPr>
          <w:b/>
          <w:bCs/>
          <w:sz w:val="28"/>
        </w:rPr>
        <w:t xml:space="preserve">1. </w:t>
      </w:r>
      <w:r w:rsidR="00873E2E" w:rsidRPr="00A546D8">
        <w:rPr>
          <w:b/>
          <w:bCs/>
          <w:sz w:val="28"/>
        </w:rPr>
        <w:t>Data Availability and Provenance Statement</w:t>
      </w:r>
    </w:p>
    <w:p w14:paraId="1703F581" w14:textId="77777777" w:rsidR="0038307E" w:rsidRDefault="0038307E" w:rsidP="00E9075B">
      <w:pPr>
        <w:jc w:val="both"/>
        <w:rPr>
          <w:b/>
        </w:rPr>
      </w:pPr>
    </w:p>
    <w:p w14:paraId="75DD88A5" w14:textId="0DEB4D5F" w:rsidR="001F0DC0" w:rsidRPr="00573574" w:rsidRDefault="00573574" w:rsidP="00E9075B">
      <w:pPr>
        <w:jc w:val="both"/>
        <w:rPr>
          <w:b/>
        </w:rPr>
      </w:pPr>
      <w:r>
        <w:rPr>
          <w:b/>
        </w:rPr>
        <w:t>Statement about Rights</w:t>
      </w:r>
    </w:p>
    <w:p w14:paraId="4ED01D7F" w14:textId="77777777" w:rsidR="00465D0E" w:rsidRPr="00573574" w:rsidRDefault="001F0DC0" w:rsidP="00E9075B">
      <w:pPr>
        <w:jc w:val="both"/>
      </w:pPr>
      <w:r w:rsidRPr="00573574">
        <w:t>T</w:t>
      </w:r>
      <w:r w:rsidR="00573574">
        <w:t>he authors</w:t>
      </w:r>
      <w:r w:rsidR="00F1449E" w:rsidRPr="00573574">
        <w:t xml:space="preserve"> of the manuscript have legitimate access to and permission to use the data used in this manuscript.</w:t>
      </w:r>
    </w:p>
    <w:p w14:paraId="009B5843" w14:textId="77777777" w:rsidR="0038307E" w:rsidRDefault="0038307E" w:rsidP="00E9075B">
      <w:pPr>
        <w:jc w:val="both"/>
        <w:rPr>
          <w:b/>
        </w:rPr>
      </w:pPr>
    </w:p>
    <w:p w14:paraId="21087F35" w14:textId="0DEE0DFD" w:rsidR="00982744" w:rsidRPr="00573574" w:rsidRDefault="00982744" w:rsidP="00E9075B">
      <w:pPr>
        <w:jc w:val="both"/>
        <w:rPr>
          <w:b/>
        </w:rPr>
      </w:pPr>
      <w:r w:rsidRPr="00573574">
        <w:rPr>
          <w:b/>
        </w:rPr>
        <w:t>Summary of Availability</w:t>
      </w:r>
    </w:p>
    <w:p w14:paraId="5E04E793" w14:textId="1191E1DA" w:rsidR="001F0DC0" w:rsidRDefault="005B5960" w:rsidP="00E9075B">
      <w:pPr>
        <w:jc w:val="both"/>
      </w:pPr>
      <w:r>
        <w:t>Administrative</w:t>
      </w:r>
      <w:r w:rsidRPr="00573574">
        <w:t xml:space="preserve"> </w:t>
      </w:r>
      <w:r w:rsidR="00982744" w:rsidRPr="00573574">
        <w:t>data</w:t>
      </w:r>
      <w:r w:rsidR="00664449">
        <w:t xml:space="preserve">, including </w:t>
      </w:r>
      <w:r w:rsidR="00DF3698">
        <w:t>accompanying auxiliary files</w:t>
      </w:r>
      <w:r w:rsidR="00664449">
        <w:t>,</w:t>
      </w:r>
      <w:r w:rsidR="00982744" w:rsidRPr="00573574">
        <w:t xml:space="preserve"> </w:t>
      </w:r>
      <w:r w:rsidR="00F1449E" w:rsidRPr="00573574">
        <w:rPr>
          <w:b/>
        </w:rPr>
        <w:t>cannot be made</w:t>
      </w:r>
      <w:r w:rsidR="00F1449E" w:rsidRPr="00573574">
        <w:t xml:space="preserve"> publicly available.</w:t>
      </w:r>
      <w:bookmarkStart w:id="0" w:name="details-on-each-data-source"/>
      <w:r w:rsidR="009A07FC">
        <w:t xml:space="preserve"> See </w:t>
      </w:r>
      <w:r w:rsidR="007E0D24">
        <w:t>DGT (2016), DGT (2017</w:t>
      </w:r>
      <w:r w:rsidR="00E546B6">
        <w:t>a</w:t>
      </w:r>
      <w:r w:rsidR="007E0D24">
        <w:t>),</w:t>
      </w:r>
      <w:r w:rsidR="00E546B6">
        <w:t xml:space="preserve"> DGT (2017b), DGT (2018a), DGT (2018b), DGT (2018c), and DGT (2018d)</w:t>
      </w:r>
      <w:r w:rsidR="00496B28">
        <w:t xml:space="preserve"> for details.</w:t>
      </w:r>
    </w:p>
    <w:p w14:paraId="79D92845" w14:textId="1747BAD6" w:rsidR="003B56B5" w:rsidRDefault="003B56B5" w:rsidP="00E9075B">
      <w:pPr>
        <w:jc w:val="both"/>
      </w:pPr>
    </w:p>
    <w:p w14:paraId="35D76801" w14:textId="2755D981" w:rsidR="003B56B5" w:rsidRPr="00573574" w:rsidRDefault="00A81226" w:rsidP="00E9075B">
      <w:pPr>
        <w:jc w:val="both"/>
      </w:pPr>
      <w:r>
        <w:t>D</w:t>
      </w:r>
      <w:r w:rsidR="003B56B5">
        <w:t xml:space="preserve">ata </w:t>
      </w:r>
      <w:r w:rsidR="00886264">
        <w:t xml:space="preserve">on </w:t>
      </w:r>
      <w:r w:rsidR="008F7E79">
        <w:t xml:space="preserve">the Indonesian </w:t>
      </w:r>
      <w:r w:rsidR="008F7E79" w:rsidRPr="001B77B4">
        <w:t>GDP deflator</w:t>
      </w:r>
      <w:r w:rsidR="008F7E79">
        <w:t xml:space="preserve"> </w:t>
      </w:r>
      <w:r w:rsidR="00A85314">
        <w:t>are</w:t>
      </w:r>
      <w:r w:rsidR="00A85314">
        <w:t xml:space="preserve"> provided in this repository</w:t>
      </w:r>
      <w:r w:rsidR="00A85314">
        <w:t xml:space="preserve">. </w:t>
      </w:r>
      <w:r w:rsidR="00F23AE1">
        <w:t>These</w:t>
      </w:r>
      <w:r w:rsidR="00A85314">
        <w:t xml:space="preserve"> data </w:t>
      </w:r>
      <w:r w:rsidR="007640EB">
        <w:t xml:space="preserve">are publicly available, and </w:t>
      </w:r>
      <w:r w:rsidR="001B4BB2">
        <w:t xml:space="preserve">can </w:t>
      </w:r>
      <w:r w:rsidR="00174082">
        <w:t xml:space="preserve">also </w:t>
      </w:r>
      <w:r w:rsidR="001B4BB2">
        <w:t xml:space="preserve">be downloaded at: </w:t>
      </w:r>
      <w:r w:rsidR="001B4BB2" w:rsidRPr="00E54F1E">
        <w:t>https://fred.stlouisfed.org/series/IDNGDPDEFAISMEI</w:t>
      </w:r>
      <w:r w:rsidR="00A85314">
        <w:t>.</w:t>
      </w:r>
      <w:r w:rsidR="00B3066B">
        <w:t xml:space="preserve"> See</w:t>
      </w:r>
      <w:r w:rsidR="00173B56">
        <w:t xml:space="preserve"> </w:t>
      </w:r>
      <w:r w:rsidR="001D23C1" w:rsidRPr="00E54F1E">
        <w:t>Organization for Economic Co-operation and Development</w:t>
      </w:r>
      <w:r w:rsidR="001D23C1">
        <w:t xml:space="preserve"> (</w:t>
      </w:r>
      <w:r w:rsidR="001D23C1">
        <w:t>2018</w:t>
      </w:r>
      <w:r w:rsidR="001D23C1">
        <w:t>) for details.</w:t>
      </w:r>
    </w:p>
    <w:p w14:paraId="264FCEE0" w14:textId="77777777" w:rsidR="0038307E" w:rsidRDefault="0038307E" w:rsidP="00E9075B">
      <w:pPr>
        <w:jc w:val="both"/>
        <w:rPr>
          <w:b/>
        </w:rPr>
      </w:pPr>
    </w:p>
    <w:p w14:paraId="7D34CBA3" w14:textId="6295C267" w:rsidR="00982744" w:rsidRPr="00573574" w:rsidRDefault="00982744" w:rsidP="00E9075B">
      <w:pPr>
        <w:jc w:val="both"/>
        <w:rPr>
          <w:b/>
        </w:rPr>
      </w:pPr>
      <w:r w:rsidRPr="00573574">
        <w:rPr>
          <w:b/>
        </w:rPr>
        <w:t>Details on each Data Source</w:t>
      </w:r>
    </w:p>
    <w:bookmarkEnd w:id="0"/>
    <w:p w14:paraId="6D75393A" w14:textId="0E888290" w:rsidR="001F0DC0" w:rsidRDefault="001F0DC0" w:rsidP="00E9075B">
      <w:pPr>
        <w:pStyle w:val="BlockText"/>
        <w:ind w:left="0" w:right="0"/>
        <w:jc w:val="both"/>
        <w:rPr>
          <w:rFonts w:ascii="Times New Roman" w:hAnsi="Times New Roman" w:cs="Times New Roman"/>
        </w:rPr>
      </w:pPr>
      <w:r w:rsidRPr="00573574">
        <w:rPr>
          <w:rFonts w:ascii="Times New Roman" w:hAnsi="Times New Roman" w:cs="Times New Roman"/>
        </w:rPr>
        <w:t xml:space="preserve">The project combines </w:t>
      </w:r>
      <w:r w:rsidR="0066152E">
        <w:rPr>
          <w:rFonts w:ascii="Times New Roman" w:hAnsi="Times New Roman" w:cs="Times New Roman"/>
        </w:rPr>
        <w:t>six</w:t>
      </w:r>
      <w:r w:rsidR="0066152E" w:rsidRPr="00573574">
        <w:rPr>
          <w:rFonts w:ascii="Times New Roman" w:hAnsi="Times New Roman" w:cs="Times New Roman"/>
        </w:rPr>
        <w:t xml:space="preserve"> </w:t>
      </w:r>
      <w:r w:rsidRPr="00573574">
        <w:rPr>
          <w:rFonts w:ascii="Times New Roman" w:hAnsi="Times New Roman" w:cs="Times New Roman"/>
        </w:rPr>
        <w:t xml:space="preserve">main </w:t>
      </w:r>
      <w:r w:rsidR="00915959">
        <w:rPr>
          <w:rFonts w:ascii="Times New Roman" w:hAnsi="Times New Roman" w:cs="Times New Roman"/>
        </w:rPr>
        <w:t xml:space="preserve">administrative </w:t>
      </w:r>
      <w:r w:rsidRPr="00573574">
        <w:rPr>
          <w:rFonts w:ascii="Times New Roman" w:hAnsi="Times New Roman" w:cs="Times New Roman"/>
        </w:rPr>
        <w:t xml:space="preserve">data sources, </w:t>
      </w:r>
      <w:r w:rsidR="000A3739">
        <w:rPr>
          <w:rFonts w:ascii="Times New Roman" w:hAnsi="Times New Roman" w:cs="Times New Roman"/>
        </w:rPr>
        <w:t>outlined below.</w:t>
      </w:r>
      <w:r w:rsidR="00A839C5">
        <w:rPr>
          <w:rFonts w:ascii="Times New Roman" w:hAnsi="Times New Roman" w:cs="Times New Roman"/>
        </w:rPr>
        <w:t xml:space="preserve"> </w:t>
      </w:r>
      <w:r w:rsidR="001E3E52">
        <w:rPr>
          <w:rFonts w:ascii="Times New Roman" w:hAnsi="Times New Roman" w:cs="Times New Roman"/>
        </w:rPr>
        <w:t>All administrative data were provided by Indonesia’s Directorate General of Taxes (DGT)</w:t>
      </w:r>
      <w:r w:rsidR="00703EDC">
        <w:rPr>
          <w:rFonts w:ascii="Times New Roman" w:hAnsi="Times New Roman" w:cs="Times New Roman"/>
        </w:rPr>
        <w:t xml:space="preserve">, and contain </w:t>
      </w:r>
      <w:r w:rsidR="00173A47">
        <w:rPr>
          <w:rFonts w:ascii="Times New Roman" w:hAnsi="Times New Roman" w:cs="Times New Roman"/>
        </w:rPr>
        <w:t xml:space="preserve">either </w:t>
      </w:r>
      <w:r w:rsidR="00703EDC">
        <w:rPr>
          <w:rFonts w:ascii="Times New Roman" w:hAnsi="Times New Roman" w:cs="Times New Roman"/>
        </w:rPr>
        <w:t>anonymized (but consistent) taxpayer</w:t>
      </w:r>
      <w:r w:rsidR="0066152E">
        <w:rPr>
          <w:rFonts w:ascii="Times New Roman" w:hAnsi="Times New Roman" w:cs="Times New Roman"/>
        </w:rPr>
        <w:t xml:space="preserve"> </w:t>
      </w:r>
      <w:r w:rsidR="000A7A78">
        <w:rPr>
          <w:rFonts w:ascii="Times New Roman" w:hAnsi="Times New Roman" w:cs="Times New Roman"/>
        </w:rPr>
        <w:t xml:space="preserve">identifiers </w:t>
      </w:r>
      <w:r w:rsidR="0066152E">
        <w:rPr>
          <w:rFonts w:ascii="Times New Roman" w:hAnsi="Times New Roman" w:cs="Times New Roman"/>
        </w:rPr>
        <w:t xml:space="preserve">or anonymized </w:t>
      </w:r>
      <w:r w:rsidR="00173A47">
        <w:rPr>
          <w:rFonts w:ascii="Times New Roman" w:hAnsi="Times New Roman" w:cs="Times New Roman"/>
        </w:rPr>
        <w:t xml:space="preserve">(but consistent) </w:t>
      </w:r>
      <w:r w:rsidR="0066152E">
        <w:rPr>
          <w:rFonts w:ascii="Times New Roman" w:hAnsi="Times New Roman" w:cs="Times New Roman"/>
        </w:rPr>
        <w:t>staff</w:t>
      </w:r>
      <w:r w:rsidR="00703EDC">
        <w:rPr>
          <w:rFonts w:ascii="Times New Roman" w:hAnsi="Times New Roman" w:cs="Times New Roman"/>
        </w:rPr>
        <w:t xml:space="preserve"> identifiers</w:t>
      </w:r>
      <w:r w:rsidR="00D67003">
        <w:rPr>
          <w:rFonts w:ascii="Times New Roman" w:hAnsi="Times New Roman" w:cs="Times New Roman"/>
        </w:rPr>
        <w:t xml:space="preserve"> </w:t>
      </w:r>
      <w:r w:rsidR="008F5225">
        <w:rPr>
          <w:rFonts w:ascii="Times New Roman" w:hAnsi="Times New Roman" w:cs="Times New Roman"/>
        </w:rPr>
        <w:t>such that</w:t>
      </w:r>
      <w:r w:rsidR="00D67003">
        <w:rPr>
          <w:rFonts w:ascii="Times New Roman" w:hAnsi="Times New Roman" w:cs="Times New Roman"/>
        </w:rPr>
        <w:t xml:space="preserve"> datasets can be linked.</w:t>
      </w:r>
    </w:p>
    <w:p w14:paraId="5E64222F" w14:textId="77777777" w:rsidR="00C85BF5" w:rsidRPr="0095594C" w:rsidRDefault="00C85BF5" w:rsidP="00C85BF5">
      <w:pPr>
        <w:pStyle w:val="BodyText"/>
        <w:rPr>
          <w:rFonts w:ascii="Times New Roman" w:hAnsi="Times New Roman" w:cs="Times New Roman"/>
        </w:rPr>
      </w:pPr>
    </w:p>
    <w:p w14:paraId="42804DD3" w14:textId="33A01E5F" w:rsidR="00C85BF5" w:rsidRPr="00214ADD" w:rsidRDefault="00C85BF5" w:rsidP="00C85BF5">
      <w:pPr>
        <w:pStyle w:val="BlockText"/>
        <w:numPr>
          <w:ilvl w:val="0"/>
          <w:numId w:val="22"/>
        </w:numPr>
        <w:ind w:right="0"/>
        <w:jc w:val="both"/>
        <w:rPr>
          <w:rFonts w:ascii="Times New Roman" w:hAnsi="Times New Roman" w:cs="Times New Roman"/>
        </w:rPr>
      </w:pPr>
      <w:r w:rsidRPr="00214ADD">
        <w:rPr>
          <w:rFonts w:ascii="Times New Roman" w:hAnsi="Times New Roman" w:cs="Times New Roman"/>
        </w:rPr>
        <w:t>Anonymized administrative data on tax office staffing – SIKKA database (DGT, 2016)</w:t>
      </w:r>
    </w:p>
    <w:p w14:paraId="4F366EF1" w14:textId="4CCE7366" w:rsidR="00C85BF5" w:rsidRPr="00214ADD" w:rsidRDefault="00C85BF5" w:rsidP="00C85BF5">
      <w:pPr>
        <w:pStyle w:val="BlockText"/>
        <w:ind w:left="720" w:right="0"/>
        <w:jc w:val="both"/>
        <w:rPr>
          <w:rFonts w:ascii="Times New Roman" w:hAnsi="Times New Roman" w:cs="Times New Roman"/>
        </w:rPr>
      </w:pPr>
      <w:r w:rsidRPr="00214ADD">
        <w:rPr>
          <w:rFonts w:ascii="Times New Roman" w:hAnsi="Times New Roman" w:cs="Times New Roman"/>
        </w:rPr>
        <w:t xml:space="preserve">These data are stored in raw files </w:t>
      </w:r>
      <w:r w:rsidRPr="008C296D">
        <w:rPr>
          <w:rFonts w:ascii="Consolas" w:hAnsi="Consolas" w:cs="Times New Roman"/>
          <w:sz w:val="22"/>
          <w:szCs w:val="22"/>
        </w:rPr>
        <w:t>LK01_MIT.dta</w:t>
      </w:r>
      <w:r w:rsidRPr="00214ADD">
        <w:rPr>
          <w:rFonts w:ascii="Times New Roman" w:hAnsi="Times New Roman" w:cs="Times New Roman"/>
        </w:rPr>
        <w:t xml:space="preserve">, </w:t>
      </w:r>
      <w:r w:rsidRPr="008C296D">
        <w:rPr>
          <w:rFonts w:ascii="Consolas" w:hAnsi="Consolas" w:cs="Times New Roman"/>
          <w:sz w:val="22"/>
          <w:szCs w:val="22"/>
        </w:rPr>
        <w:t>LK02_MIT.dta</w:t>
      </w:r>
      <w:r w:rsidRPr="00214ADD">
        <w:rPr>
          <w:rFonts w:ascii="Times New Roman" w:hAnsi="Times New Roman" w:cs="Times New Roman"/>
        </w:rPr>
        <w:t xml:space="preserve">, </w:t>
      </w:r>
      <w:r w:rsidRPr="008C296D">
        <w:rPr>
          <w:rFonts w:ascii="Consolas" w:hAnsi="Consolas" w:cs="Times New Roman"/>
          <w:sz w:val="22"/>
          <w:szCs w:val="22"/>
        </w:rPr>
        <w:t>LK03_MIT.dta, LK03A_MIT.dta</w:t>
      </w:r>
      <w:r w:rsidRPr="00214ADD">
        <w:rPr>
          <w:rFonts w:ascii="Times New Roman" w:hAnsi="Times New Roman" w:cs="Times New Roman"/>
        </w:rPr>
        <w:t xml:space="preserve">, </w:t>
      </w:r>
      <w:r w:rsidRPr="008C296D">
        <w:rPr>
          <w:rFonts w:ascii="Consolas" w:hAnsi="Consolas" w:cs="Times New Roman"/>
          <w:sz w:val="22"/>
          <w:szCs w:val="22"/>
        </w:rPr>
        <w:t>LK03C_MIT.dta</w:t>
      </w:r>
      <w:r w:rsidRPr="00214ADD">
        <w:rPr>
          <w:rFonts w:ascii="Times New Roman" w:hAnsi="Times New Roman" w:cs="Times New Roman"/>
        </w:rPr>
        <w:t xml:space="preserve">, </w:t>
      </w:r>
      <w:r w:rsidRPr="008C296D">
        <w:rPr>
          <w:rFonts w:ascii="Consolas" w:hAnsi="Consolas" w:cs="Times New Roman"/>
          <w:sz w:val="22"/>
          <w:szCs w:val="22"/>
        </w:rPr>
        <w:t>LK03D_MIT.dta</w:t>
      </w:r>
      <w:r w:rsidRPr="00214ADD">
        <w:rPr>
          <w:rFonts w:ascii="Times New Roman" w:hAnsi="Times New Roman" w:cs="Times New Roman"/>
        </w:rPr>
        <w:t xml:space="preserve">, </w:t>
      </w:r>
      <w:r w:rsidRPr="008C296D">
        <w:rPr>
          <w:rFonts w:ascii="Consolas" w:hAnsi="Consolas" w:cs="Times New Roman"/>
          <w:sz w:val="22"/>
          <w:szCs w:val="22"/>
        </w:rPr>
        <w:t>LK04_MIT.dta</w:t>
      </w:r>
      <w:r w:rsidRPr="00214ADD">
        <w:rPr>
          <w:rFonts w:ascii="Times New Roman" w:hAnsi="Times New Roman" w:cs="Times New Roman"/>
        </w:rPr>
        <w:t xml:space="preserve">, </w:t>
      </w:r>
      <w:r w:rsidRPr="008C296D">
        <w:rPr>
          <w:rFonts w:ascii="Consolas" w:hAnsi="Consolas" w:cs="Times New Roman"/>
          <w:sz w:val="22"/>
          <w:szCs w:val="22"/>
        </w:rPr>
        <w:t>LK16_MIT.dta</w:t>
      </w:r>
      <w:r w:rsidRPr="00214ADD">
        <w:rPr>
          <w:rFonts w:ascii="Times New Roman" w:hAnsi="Times New Roman" w:cs="Times New Roman"/>
        </w:rPr>
        <w:t xml:space="preserve">, and </w:t>
      </w:r>
      <w:r w:rsidRPr="008C296D">
        <w:rPr>
          <w:rFonts w:ascii="Consolas" w:hAnsi="Consolas" w:cs="Times New Roman"/>
          <w:sz w:val="22"/>
          <w:szCs w:val="22"/>
        </w:rPr>
        <w:t>NONLK_KeaktifanPegawai_MIT.dta</w:t>
      </w:r>
      <w:r w:rsidRPr="00214ADD">
        <w:rPr>
          <w:rFonts w:ascii="Times New Roman" w:hAnsi="Times New Roman" w:cs="Times New Roman"/>
        </w:rPr>
        <w:t>.</w:t>
      </w:r>
      <w:r w:rsidR="00E41E15" w:rsidRPr="00214ADD">
        <w:rPr>
          <w:rFonts w:ascii="Times New Roman" w:hAnsi="Times New Roman" w:cs="Times New Roman"/>
        </w:rPr>
        <w:t xml:space="preserve"> </w:t>
      </w:r>
      <w:r w:rsidRPr="00214ADD">
        <w:rPr>
          <w:rFonts w:ascii="Times New Roman" w:hAnsi="Times New Roman" w:cs="Times New Roman"/>
        </w:rPr>
        <w:t xml:space="preserve">See </w:t>
      </w:r>
      <w:r w:rsidRPr="008C296D">
        <w:rPr>
          <w:rFonts w:ascii="Consolas" w:hAnsi="Consolas" w:cs="Times New Roman"/>
          <w:sz w:val="22"/>
          <w:szCs w:val="22"/>
        </w:rPr>
        <w:t>0_1_Compiled_tables_and_materials_list.xlsx</w:t>
      </w:r>
      <w:r w:rsidRPr="00214ADD">
        <w:rPr>
          <w:rFonts w:ascii="Times New Roman" w:hAnsi="Times New Roman" w:cs="Times New Roman"/>
        </w:rPr>
        <w:t xml:space="preserve"> for further details on the contents of each dataset, and the paper’s Data Appendix for general information.</w:t>
      </w:r>
    </w:p>
    <w:p w14:paraId="37CA13BE" w14:textId="77777777" w:rsidR="00C85BF5" w:rsidRPr="00214ADD" w:rsidRDefault="00C85BF5" w:rsidP="00896A22">
      <w:pPr>
        <w:pStyle w:val="BlockText"/>
        <w:ind w:left="720" w:right="0"/>
        <w:jc w:val="both"/>
        <w:rPr>
          <w:rFonts w:ascii="Times New Roman" w:hAnsi="Times New Roman" w:cs="Times New Roman"/>
        </w:rPr>
      </w:pPr>
    </w:p>
    <w:p w14:paraId="45216094" w14:textId="20B9F875" w:rsidR="004F795D" w:rsidRPr="00214ADD" w:rsidRDefault="000D3DF5" w:rsidP="004F795D">
      <w:pPr>
        <w:pStyle w:val="BlockText"/>
        <w:numPr>
          <w:ilvl w:val="0"/>
          <w:numId w:val="22"/>
        </w:numPr>
        <w:ind w:right="0"/>
        <w:jc w:val="both"/>
        <w:rPr>
          <w:rFonts w:ascii="Times New Roman" w:hAnsi="Times New Roman" w:cs="Times New Roman"/>
        </w:rPr>
      </w:pPr>
      <w:r w:rsidRPr="00214ADD">
        <w:rPr>
          <w:rFonts w:ascii="Times New Roman" w:hAnsi="Times New Roman" w:cs="Times New Roman"/>
        </w:rPr>
        <w:t>Anonymized a</w:t>
      </w:r>
      <w:r w:rsidR="00EE0118" w:rsidRPr="00214ADD">
        <w:rPr>
          <w:rFonts w:ascii="Times New Roman" w:hAnsi="Times New Roman" w:cs="Times New Roman"/>
        </w:rPr>
        <w:t>dministrative data</w:t>
      </w:r>
      <w:r w:rsidR="00392F67" w:rsidRPr="00214ADD">
        <w:rPr>
          <w:rFonts w:ascii="Times New Roman" w:hAnsi="Times New Roman" w:cs="Times New Roman"/>
        </w:rPr>
        <w:t xml:space="preserve"> on </w:t>
      </w:r>
      <w:r w:rsidR="00302E0E" w:rsidRPr="00214ADD">
        <w:rPr>
          <w:rFonts w:ascii="Times New Roman" w:hAnsi="Times New Roman" w:cs="Times New Roman"/>
        </w:rPr>
        <w:t>c</w:t>
      </w:r>
      <w:r w:rsidR="00392F67" w:rsidRPr="00214ADD">
        <w:rPr>
          <w:rFonts w:ascii="Times New Roman" w:hAnsi="Times New Roman" w:cs="Times New Roman"/>
        </w:rPr>
        <w:t xml:space="preserve">orporate </w:t>
      </w:r>
      <w:r w:rsidR="00302E0E" w:rsidRPr="00214ADD">
        <w:rPr>
          <w:rFonts w:ascii="Times New Roman" w:hAnsi="Times New Roman" w:cs="Times New Roman"/>
        </w:rPr>
        <w:t>i</w:t>
      </w:r>
      <w:r w:rsidR="00392F67" w:rsidRPr="00214ADD">
        <w:rPr>
          <w:rFonts w:ascii="Times New Roman" w:hAnsi="Times New Roman" w:cs="Times New Roman"/>
        </w:rPr>
        <w:t xml:space="preserve">ncome </w:t>
      </w:r>
      <w:r w:rsidR="00302E0E" w:rsidRPr="00214ADD">
        <w:rPr>
          <w:rFonts w:ascii="Times New Roman" w:hAnsi="Times New Roman" w:cs="Times New Roman"/>
        </w:rPr>
        <w:t>t</w:t>
      </w:r>
      <w:r w:rsidR="00392F67" w:rsidRPr="00214ADD">
        <w:rPr>
          <w:rFonts w:ascii="Times New Roman" w:hAnsi="Times New Roman" w:cs="Times New Roman"/>
        </w:rPr>
        <w:t xml:space="preserve">ax </w:t>
      </w:r>
      <w:r w:rsidR="00302E0E" w:rsidRPr="00214ADD">
        <w:rPr>
          <w:rFonts w:ascii="Times New Roman" w:hAnsi="Times New Roman" w:cs="Times New Roman"/>
        </w:rPr>
        <w:t>f</w:t>
      </w:r>
      <w:r w:rsidR="00392F67" w:rsidRPr="00214ADD">
        <w:rPr>
          <w:rFonts w:ascii="Times New Roman" w:hAnsi="Times New Roman" w:cs="Times New Roman"/>
        </w:rPr>
        <w:t>ilings</w:t>
      </w:r>
      <w:r w:rsidR="003E3706" w:rsidRPr="00214ADD">
        <w:rPr>
          <w:rFonts w:ascii="Times New Roman" w:hAnsi="Times New Roman" w:cs="Times New Roman"/>
        </w:rPr>
        <w:t xml:space="preserve"> – Form SPT 1771</w:t>
      </w:r>
      <w:r w:rsidR="009278E4" w:rsidRPr="00214ADD">
        <w:rPr>
          <w:rFonts w:ascii="Times New Roman" w:hAnsi="Times New Roman" w:cs="Times New Roman"/>
        </w:rPr>
        <w:t xml:space="preserve"> (</w:t>
      </w:r>
      <w:r w:rsidR="006F6D41" w:rsidRPr="00214ADD">
        <w:rPr>
          <w:rFonts w:ascii="Times New Roman" w:hAnsi="Times New Roman" w:cs="Times New Roman"/>
        </w:rPr>
        <w:t>DGT,</w:t>
      </w:r>
      <w:r w:rsidR="009278E4" w:rsidRPr="00214ADD">
        <w:rPr>
          <w:rFonts w:ascii="Times New Roman" w:hAnsi="Times New Roman" w:cs="Times New Roman"/>
        </w:rPr>
        <w:t xml:space="preserve"> </w:t>
      </w:r>
      <w:r w:rsidR="007A5552" w:rsidRPr="00214ADD">
        <w:rPr>
          <w:rFonts w:ascii="Times New Roman" w:hAnsi="Times New Roman" w:cs="Times New Roman"/>
        </w:rPr>
        <w:t>2017a</w:t>
      </w:r>
      <w:r w:rsidR="009278E4" w:rsidRPr="00214ADD">
        <w:rPr>
          <w:rFonts w:ascii="Times New Roman" w:hAnsi="Times New Roman" w:cs="Times New Roman"/>
        </w:rPr>
        <w:t>)</w:t>
      </w:r>
    </w:p>
    <w:p w14:paraId="7F6B8F71" w14:textId="6612442D" w:rsidR="00204CA6" w:rsidRPr="00214ADD" w:rsidRDefault="0015212A" w:rsidP="00C85BF5">
      <w:pPr>
        <w:pStyle w:val="BlockText"/>
        <w:ind w:left="720" w:right="0"/>
        <w:jc w:val="both"/>
        <w:rPr>
          <w:rFonts w:ascii="Times New Roman" w:hAnsi="Times New Roman" w:cs="Times New Roman"/>
          <w:lang w:val="it-IT"/>
        </w:rPr>
      </w:pPr>
      <w:r w:rsidRPr="00214ADD">
        <w:rPr>
          <w:rFonts w:ascii="Times New Roman" w:hAnsi="Times New Roman" w:cs="Times New Roman"/>
        </w:rPr>
        <w:t>Th</w:t>
      </w:r>
      <w:r w:rsidR="00E4010E" w:rsidRPr="00214ADD">
        <w:rPr>
          <w:rFonts w:ascii="Times New Roman" w:hAnsi="Times New Roman" w:cs="Times New Roman"/>
        </w:rPr>
        <w:t>ese</w:t>
      </w:r>
      <w:r w:rsidR="002C0888" w:rsidRPr="00214ADD">
        <w:rPr>
          <w:rFonts w:ascii="Times New Roman" w:hAnsi="Times New Roman" w:cs="Times New Roman"/>
        </w:rPr>
        <w:t xml:space="preserve"> data are stored in the raw file </w:t>
      </w:r>
      <w:r w:rsidR="002C0888" w:rsidRPr="008C296D">
        <w:rPr>
          <w:rFonts w:ascii="Consolas" w:hAnsi="Consolas" w:cs="Times New Roman"/>
          <w:sz w:val="22"/>
          <w:szCs w:val="22"/>
        </w:rPr>
        <w:t>SPT_1771.dta</w:t>
      </w:r>
      <w:r w:rsidR="002C0888" w:rsidRPr="00214ADD">
        <w:rPr>
          <w:rFonts w:ascii="Times New Roman" w:hAnsi="Times New Roman" w:cs="Times New Roman"/>
        </w:rPr>
        <w:t>.</w:t>
      </w:r>
      <w:r w:rsidR="00ED20E7" w:rsidRPr="00214ADD">
        <w:rPr>
          <w:rFonts w:ascii="Times New Roman" w:hAnsi="Times New Roman" w:cs="Times New Roman"/>
        </w:rPr>
        <w:t xml:space="preserve"> See the paper’s Data Appendix for a detailed description.</w:t>
      </w:r>
    </w:p>
    <w:p w14:paraId="08ED0697" w14:textId="77777777" w:rsidR="004F795D" w:rsidRPr="00214ADD" w:rsidRDefault="004F795D" w:rsidP="004F795D">
      <w:pPr>
        <w:pStyle w:val="BlockText"/>
        <w:ind w:left="0" w:right="0"/>
        <w:jc w:val="both"/>
        <w:rPr>
          <w:rFonts w:ascii="Times New Roman" w:hAnsi="Times New Roman" w:cs="Times New Roman"/>
          <w:lang w:val="it-IT"/>
        </w:rPr>
      </w:pPr>
    </w:p>
    <w:p w14:paraId="0822937E" w14:textId="197D6118" w:rsidR="004F795D" w:rsidRPr="00214ADD" w:rsidRDefault="000D10B8" w:rsidP="004F795D">
      <w:pPr>
        <w:pStyle w:val="BlockText"/>
        <w:numPr>
          <w:ilvl w:val="0"/>
          <w:numId w:val="22"/>
        </w:numPr>
        <w:ind w:right="0"/>
        <w:jc w:val="both"/>
        <w:rPr>
          <w:rFonts w:ascii="Times New Roman" w:hAnsi="Times New Roman" w:cs="Times New Roman"/>
        </w:rPr>
      </w:pPr>
      <w:r w:rsidRPr="00214ADD">
        <w:rPr>
          <w:rFonts w:ascii="Times New Roman" w:hAnsi="Times New Roman" w:cs="Times New Roman"/>
        </w:rPr>
        <w:t>Anonymized a</w:t>
      </w:r>
      <w:r w:rsidR="009B6366" w:rsidRPr="00214ADD">
        <w:rPr>
          <w:rFonts w:ascii="Times New Roman" w:hAnsi="Times New Roman" w:cs="Times New Roman"/>
        </w:rPr>
        <w:t>dministrative data on tax payments</w:t>
      </w:r>
      <w:r w:rsidR="0085096C" w:rsidRPr="00214ADD">
        <w:rPr>
          <w:rFonts w:ascii="Times New Roman" w:hAnsi="Times New Roman" w:cs="Times New Roman"/>
        </w:rPr>
        <w:t xml:space="preserve"> – MPN </w:t>
      </w:r>
      <w:r w:rsidR="003F5D2D" w:rsidRPr="00214ADD">
        <w:rPr>
          <w:rFonts w:ascii="Times New Roman" w:hAnsi="Times New Roman" w:cs="Times New Roman"/>
        </w:rPr>
        <w:t xml:space="preserve">database (DGT, </w:t>
      </w:r>
      <w:r w:rsidR="00C66D52" w:rsidRPr="00214ADD">
        <w:rPr>
          <w:rFonts w:ascii="Times New Roman" w:hAnsi="Times New Roman" w:cs="Times New Roman"/>
        </w:rPr>
        <w:t>2017</w:t>
      </w:r>
      <w:r w:rsidR="007A5552" w:rsidRPr="00214ADD">
        <w:rPr>
          <w:rFonts w:ascii="Times New Roman" w:hAnsi="Times New Roman" w:cs="Times New Roman"/>
        </w:rPr>
        <w:t>b</w:t>
      </w:r>
      <w:r w:rsidR="00C66D52" w:rsidRPr="00214ADD">
        <w:rPr>
          <w:rFonts w:ascii="Times New Roman" w:hAnsi="Times New Roman" w:cs="Times New Roman"/>
        </w:rPr>
        <w:t>, 2018</w:t>
      </w:r>
      <w:r w:rsidR="00EC6B09" w:rsidRPr="00214ADD">
        <w:rPr>
          <w:rFonts w:ascii="Times New Roman" w:hAnsi="Times New Roman" w:cs="Times New Roman"/>
        </w:rPr>
        <w:t>a</w:t>
      </w:r>
      <w:r w:rsidR="003F5D2D" w:rsidRPr="00214ADD">
        <w:rPr>
          <w:rFonts w:ascii="Times New Roman" w:hAnsi="Times New Roman" w:cs="Times New Roman"/>
        </w:rPr>
        <w:t>)</w:t>
      </w:r>
    </w:p>
    <w:p w14:paraId="51365C16" w14:textId="265BF469" w:rsidR="00C85BF5" w:rsidRPr="00214ADD" w:rsidRDefault="008449CC" w:rsidP="00C85BF5">
      <w:pPr>
        <w:pStyle w:val="BlockText"/>
        <w:ind w:left="720" w:right="0"/>
        <w:jc w:val="both"/>
        <w:rPr>
          <w:rFonts w:ascii="Times New Roman" w:hAnsi="Times New Roman" w:cs="Times New Roman"/>
        </w:rPr>
      </w:pPr>
      <w:r w:rsidRPr="00214ADD">
        <w:rPr>
          <w:rFonts w:ascii="Times New Roman" w:hAnsi="Times New Roman" w:cs="Times New Roman"/>
        </w:rPr>
        <w:t>These data are stored</w:t>
      </w:r>
      <w:r w:rsidR="003203C6" w:rsidRPr="00214ADD">
        <w:rPr>
          <w:rFonts w:ascii="Times New Roman" w:hAnsi="Times New Roman" w:cs="Times New Roman"/>
        </w:rPr>
        <w:t xml:space="preserve"> in </w:t>
      </w:r>
      <w:r w:rsidR="00767FB5" w:rsidRPr="00214ADD">
        <w:rPr>
          <w:rFonts w:ascii="Times New Roman" w:hAnsi="Times New Roman" w:cs="Times New Roman"/>
        </w:rPr>
        <w:t xml:space="preserve">raw </w:t>
      </w:r>
      <w:r w:rsidR="003203C6" w:rsidRPr="00214ADD">
        <w:rPr>
          <w:rFonts w:ascii="Times New Roman" w:hAnsi="Times New Roman" w:cs="Times New Roman"/>
        </w:rPr>
        <w:t>files</w:t>
      </w:r>
      <w:r w:rsidR="00767FB5" w:rsidRPr="00214ADD">
        <w:rPr>
          <w:rFonts w:ascii="Times New Roman" w:hAnsi="Times New Roman" w:cs="Times New Roman"/>
        </w:rPr>
        <w:t xml:space="preserve"> </w:t>
      </w:r>
      <w:r w:rsidR="00E93F20" w:rsidRPr="008C296D">
        <w:rPr>
          <w:rFonts w:ascii="Consolas" w:hAnsi="Consolas" w:cs="Times New Roman"/>
          <w:sz w:val="22"/>
          <w:szCs w:val="22"/>
        </w:rPr>
        <w:t>MPN.dta</w:t>
      </w:r>
      <w:r w:rsidR="00E93F20" w:rsidRPr="00214ADD">
        <w:rPr>
          <w:rFonts w:ascii="Times New Roman" w:hAnsi="Times New Roman" w:cs="Times New Roman"/>
        </w:rPr>
        <w:t xml:space="preserve"> </w:t>
      </w:r>
      <w:r w:rsidR="00DF6BA4" w:rsidRPr="00214ADD">
        <w:rPr>
          <w:rFonts w:ascii="Times New Roman" w:hAnsi="Times New Roman" w:cs="Times New Roman"/>
        </w:rPr>
        <w:t>(</w:t>
      </w:r>
      <w:r w:rsidR="00343FFB" w:rsidRPr="00214ADD">
        <w:rPr>
          <w:rFonts w:ascii="Times New Roman" w:hAnsi="Times New Roman" w:cs="Times New Roman"/>
        </w:rPr>
        <w:t xml:space="preserve">received </w:t>
      </w:r>
      <w:r w:rsidR="00DF6BA4" w:rsidRPr="00214ADD">
        <w:rPr>
          <w:rFonts w:ascii="Times New Roman" w:hAnsi="Times New Roman" w:cs="Times New Roman"/>
        </w:rPr>
        <w:t xml:space="preserve">in 2017) </w:t>
      </w:r>
      <w:r w:rsidR="00E93F20" w:rsidRPr="00214ADD">
        <w:rPr>
          <w:rFonts w:ascii="Times New Roman" w:hAnsi="Times New Roman" w:cs="Times New Roman"/>
        </w:rPr>
        <w:t xml:space="preserve">and </w:t>
      </w:r>
      <w:r w:rsidR="00E93F20" w:rsidRPr="008C296D">
        <w:rPr>
          <w:rFonts w:ascii="Consolas" w:hAnsi="Consolas" w:cs="Times New Roman"/>
          <w:sz w:val="22"/>
          <w:szCs w:val="22"/>
        </w:rPr>
        <w:t>MPN_detailed.dta</w:t>
      </w:r>
      <w:r w:rsidR="00DF6BA4" w:rsidRPr="008C296D">
        <w:rPr>
          <w:rFonts w:ascii="Consolas" w:hAnsi="Consolas" w:cs="Times New Roman"/>
          <w:sz w:val="22"/>
          <w:szCs w:val="22"/>
        </w:rPr>
        <w:t xml:space="preserve"> </w:t>
      </w:r>
      <w:r w:rsidR="00DF6BA4" w:rsidRPr="00214ADD">
        <w:rPr>
          <w:rFonts w:ascii="Times New Roman" w:hAnsi="Times New Roman" w:cs="Times New Roman"/>
        </w:rPr>
        <w:t>(</w:t>
      </w:r>
      <w:r w:rsidR="00343FFB" w:rsidRPr="00214ADD">
        <w:rPr>
          <w:rFonts w:ascii="Times New Roman" w:hAnsi="Times New Roman" w:cs="Times New Roman"/>
        </w:rPr>
        <w:t xml:space="preserve">received </w:t>
      </w:r>
      <w:r w:rsidR="00DF6BA4" w:rsidRPr="00214ADD">
        <w:rPr>
          <w:rFonts w:ascii="Times New Roman" w:hAnsi="Times New Roman" w:cs="Times New Roman"/>
        </w:rPr>
        <w:t xml:space="preserve">in 2018). </w:t>
      </w:r>
      <w:r w:rsidR="00AE168E" w:rsidRPr="00214ADD">
        <w:rPr>
          <w:rFonts w:ascii="Times New Roman" w:hAnsi="Times New Roman" w:cs="Times New Roman"/>
        </w:rPr>
        <w:t>The former dataset</w:t>
      </w:r>
      <w:r w:rsidR="00D943BD" w:rsidRPr="00214ADD">
        <w:rPr>
          <w:rFonts w:ascii="Times New Roman" w:hAnsi="Times New Roman" w:cs="Times New Roman"/>
        </w:rPr>
        <w:t xml:space="preserve"> is aggregated by tax year</w:t>
      </w:r>
      <w:r w:rsidR="00510C10" w:rsidRPr="00214ADD">
        <w:rPr>
          <w:rFonts w:ascii="Times New Roman" w:hAnsi="Times New Roman" w:cs="Times New Roman"/>
        </w:rPr>
        <w:t xml:space="preserve"> </w:t>
      </w:r>
      <w:r w:rsidR="003813FF" w:rsidRPr="00214ADD">
        <w:rPr>
          <w:rFonts w:ascii="Times New Roman" w:hAnsi="Times New Roman" w:cs="Times New Roman"/>
        </w:rPr>
        <w:t>for</w:t>
      </w:r>
      <w:r w:rsidR="00510C10" w:rsidRPr="00214ADD">
        <w:rPr>
          <w:rFonts w:ascii="Times New Roman" w:hAnsi="Times New Roman" w:cs="Times New Roman"/>
        </w:rPr>
        <w:t xml:space="preserve"> which the payment </w:t>
      </w:r>
      <w:r w:rsidR="003813FF" w:rsidRPr="00214ADD">
        <w:rPr>
          <w:rFonts w:ascii="Times New Roman" w:hAnsi="Times New Roman" w:cs="Times New Roman"/>
        </w:rPr>
        <w:t>was made</w:t>
      </w:r>
      <w:r w:rsidR="00D943BD" w:rsidRPr="00214ADD">
        <w:rPr>
          <w:rFonts w:ascii="Times New Roman" w:hAnsi="Times New Roman" w:cs="Times New Roman"/>
        </w:rPr>
        <w:t xml:space="preserve">, whereas the latter </w:t>
      </w:r>
      <w:r w:rsidR="00936DF1" w:rsidRPr="00214ADD">
        <w:rPr>
          <w:rFonts w:ascii="Times New Roman" w:hAnsi="Times New Roman" w:cs="Times New Roman"/>
        </w:rPr>
        <w:t>includes both the tax year and the payment date.</w:t>
      </w:r>
      <w:r w:rsidR="00D96301" w:rsidRPr="00214ADD">
        <w:rPr>
          <w:rFonts w:ascii="Times New Roman" w:hAnsi="Times New Roman" w:cs="Times New Roman"/>
        </w:rPr>
        <w:t xml:space="preserve"> </w:t>
      </w:r>
      <w:r w:rsidR="00ED20E7" w:rsidRPr="00214ADD">
        <w:rPr>
          <w:rFonts w:ascii="Times New Roman" w:hAnsi="Times New Roman" w:cs="Times New Roman"/>
        </w:rPr>
        <w:t>See the paper’s Data Appendix for a detailed description.</w:t>
      </w:r>
    </w:p>
    <w:p w14:paraId="2D778F6F" w14:textId="77777777" w:rsidR="00C85BF5" w:rsidRPr="00214ADD" w:rsidRDefault="00C85BF5" w:rsidP="00C85BF5">
      <w:pPr>
        <w:pStyle w:val="BlockText"/>
        <w:ind w:left="0" w:right="0"/>
        <w:jc w:val="both"/>
        <w:rPr>
          <w:rFonts w:ascii="Times New Roman" w:hAnsi="Times New Roman" w:cs="Times New Roman"/>
        </w:rPr>
      </w:pPr>
    </w:p>
    <w:p w14:paraId="5EC66E30" w14:textId="3CA76744" w:rsidR="00C85BF5" w:rsidRPr="00214ADD" w:rsidRDefault="00C85BF5" w:rsidP="00C85BF5">
      <w:pPr>
        <w:pStyle w:val="BlockText"/>
        <w:numPr>
          <w:ilvl w:val="0"/>
          <w:numId w:val="22"/>
        </w:numPr>
        <w:ind w:right="0"/>
        <w:jc w:val="both"/>
        <w:rPr>
          <w:rFonts w:ascii="Times New Roman" w:hAnsi="Times New Roman" w:cs="Times New Roman"/>
        </w:rPr>
      </w:pPr>
      <w:r w:rsidRPr="00214ADD">
        <w:rPr>
          <w:rFonts w:ascii="Times New Roman" w:hAnsi="Times New Roman" w:cs="Times New Roman"/>
        </w:rPr>
        <w:t>Anonymized administrative data on employee income tax withholding – Form SPT 1721 (DGT, 2018b)</w:t>
      </w:r>
    </w:p>
    <w:p w14:paraId="3E8D5B93" w14:textId="4D2F747E" w:rsidR="001F0DC0" w:rsidRPr="00214ADD" w:rsidRDefault="00C85BF5" w:rsidP="00C85BF5">
      <w:pPr>
        <w:pStyle w:val="BlockText"/>
        <w:ind w:left="720" w:right="0"/>
        <w:jc w:val="both"/>
        <w:rPr>
          <w:rFonts w:ascii="Times New Roman" w:hAnsi="Times New Roman" w:cs="Times New Roman"/>
        </w:rPr>
      </w:pPr>
      <w:r w:rsidRPr="00214ADD">
        <w:rPr>
          <w:rFonts w:ascii="Times New Roman" w:hAnsi="Times New Roman" w:cs="Times New Roman"/>
        </w:rPr>
        <w:t xml:space="preserve">These data are stored in the raw files </w:t>
      </w:r>
      <w:r w:rsidRPr="008C296D">
        <w:rPr>
          <w:rFonts w:ascii="Consolas" w:hAnsi="Consolas" w:cs="Times New Roman"/>
          <w:sz w:val="22"/>
          <w:szCs w:val="22"/>
        </w:rPr>
        <w:t>SPT_1721_02to08.dta</w:t>
      </w:r>
      <w:r w:rsidRPr="00214ADD">
        <w:rPr>
          <w:rFonts w:ascii="Times New Roman" w:hAnsi="Times New Roman" w:cs="Times New Roman"/>
        </w:rPr>
        <w:t xml:space="preserve"> </w:t>
      </w:r>
      <w:r w:rsidR="00D75173" w:rsidRPr="00214ADD">
        <w:rPr>
          <w:rFonts w:ascii="Times New Roman" w:hAnsi="Times New Roman" w:cs="Times New Roman"/>
        </w:rPr>
        <w:t xml:space="preserve">(2018b) </w:t>
      </w:r>
      <w:r w:rsidRPr="00214ADD">
        <w:rPr>
          <w:rFonts w:ascii="Times New Roman" w:hAnsi="Times New Roman" w:cs="Times New Roman"/>
        </w:rPr>
        <w:t xml:space="preserve">and </w:t>
      </w:r>
      <w:r w:rsidRPr="008C296D">
        <w:rPr>
          <w:rFonts w:ascii="Consolas" w:hAnsi="Consolas" w:cs="Times New Roman"/>
          <w:sz w:val="22"/>
          <w:szCs w:val="22"/>
        </w:rPr>
        <w:t>SPT_1721.dta</w:t>
      </w:r>
      <w:r w:rsidR="00D75173" w:rsidRPr="00214ADD">
        <w:rPr>
          <w:rFonts w:ascii="Times New Roman" w:hAnsi="Times New Roman" w:cs="Times New Roman"/>
        </w:rPr>
        <w:t xml:space="preserve"> (2018c). </w:t>
      </w:r>
      <w:r w:rsidRPr="00214ADD">
        <w:rPr>
          <w:rFonts w:ascii="Times New Roman" w:hAnsi="Times New Roman" w:cs="Times New Roman"/>
        </w:rPr>
        <w:t>The former covers tax years 2002 through 2008, and the latter tax years 2009 through 2013. See the paper’s Data Appendix for a detailed description.</w:t>
      </w:r>
    </w:p>
    <w:p w14:paraId="204A416B" w14:textId="77777777" w:rsidR="00C85BF5" w:rsidRPr="008C296D" w:rsidRDefault="00C85BF5" w:rsidP="00896A22">
      <w:pPr>
        <w:pStyle w:val="BodyText"/>
      </w:pPr>
    </w:p>
    <w:p w14:paraId="7D60819D" w14:textId="7D316BB9" w:rsidR="005E3567" w:rsidRPr="00214ADD" w:rsidRDefault="005E3567" w:rsidP="005E3567">
      <w:pPr>
        <w:pStyle w:val="BlockText"/>
        <w:numPr>
          <w:ilvl w:val="0"/>
          <w:numId w:val="22"/>
        </w:numPr>
        <w:ind w:right="0"/>
        <w:jc w:val="both"/>
        <w:rPr>
          <w:rFonts w:ascii="Times New Roman" w:hAnsi="Times New Roman" w:cs="Times New Roman"/>
        </w:rPr>
      </w:pPr>
      <w:r w:rsidRPr="00214ADD">
        <w:rPr>
          <w:rFonts w:ascii="Times New Roman" w:hAnsi="Times New Roman" w:cs="Times New Roman"/>
        </w:rPr>
        <w:t>Anonymized administrative data on tax audits (DGT, 2018</w:t>
      </w:r>
      <w:r w:rsidR="00113BFA">
        <w:rPr>
          <w:rFonts w:ascii="Times New Roman" w:hAnsi="Times New Roman" w:cs="Times New Roman"/>
        </w:rPr>
        <w:t>c</w:t>
      </w:r>
      <w:r w:rsidRPr="00214ADD">
        <w:rPr>
          <w:rFonts w:ascii="Times New Roman" w:hAnsi="Times New Roman" w:cs="Times New Roman"/>
        </w:rPr>
        <w:t>)</w:t>
      </w:r>
    </w:p>
    <w:p w14:paraId="7A595C5E" w14:textId="3E2D6408" w:rsidR="005E3567" w:rsidRPr="00214ADD" w:rsidRDefault="005E3567" w:rsidP="005E3567">
      <w:pPr>
        <w:pStyle w:val="BlockText"/>
        <w:ind w:left="720" w:right="0"/>
        <w:jc w:val="both"/>
        <w:rPr>
          <w:rFonts w:ascii="Times New Roman" w:hAnsi="Times New Roman" w:cs="Times New Roman"/>
        </w:rPr>
      </w:pPr>
      <w:r w:rsidRPr="00214ADD">
        <w:rPr>
          <w:rFonts w:ascii="Times New Roman" w:hAnsi="Times New Roman" w:cs="Times New Roman"/>
        </w:rPr>
        <w:t xml:space="preserve">These data are stored in raw file </w:t>
      </w:r>
      <w:r w:rsidRPr="008C296D">
        <w:rPr>
          <w:rFonts w:ascii="Consolas" w:hAnsi="Consolas" w:cs="Times New Roman"/>
          <w:sz w:val="22"/>
          <w:szCs w:val="22"/>
        </w:rPr>
        <w:t>audits.dta</w:t>
      </w:r>
      <w:r w:rsidRPr="00214ADD">
        <w:rPr>
          <w:rFonts w:ascii="Times New Roman" w:hAnsi="Times New Roman" w:cs="Times New Roman"/>
        </w:rPr>
        <w:t>. See the paper’s Data Appendix for a detailed description.</w:t>
      </w:r>
    </w:p>
    <w:p w14:paraId="24AC9B11" w14:textId="77777777" w:rsidR="005E3567" w:rsidRPr="00214ADD" w:rsidRDefault="005E3567" w:rsidP="00896A22">
      <w:pPr>
        <w:pStyle w:val="BlockText"/>
        <w:ind w:left="720" w:right="0"/>
        <w:jc w:val="both"/>
        <w:rPr>
          <w:rFonts w:ascii="Times New Roman" w:hAnsi="Times New Roman" w:cs="Times New Roman"/>
        </w:rPr>
      </w:pPr>
    </w:p>
    <w:p w14:paraId="4FFEEDB1" w14:textId="217FF4B3" w:rsidR="004F795D" w:rsidRPr="00214ADD" w:rsidRDefault="000D10B8" w:rsidP="004F795D">
      <w:pPr>
        <w:pStyle w:val="BlockText"/>
        <w:numPr>
          <w:ilvl w:val="0"/>
          <w:numId w:val="22"/>
        </w:numPr>
        <w:ind w:right="0"/>
        <w:jc w:val="both"/>
        <w:rPr>
          <w:rFonts w:ascii="Times New Roman" w:hAnsi="Times New Roman" w:cs="Times New Roman"/>
        </w:rPr>
      </w:pPr>
      <w:r w:rsidRPr="00214ADD">
        <w:rPr>
          <w:rFonts w:ascii="Times New Roman" w:hAnsi="Times New Roman" w:cs="Times New Roman"/>
        </w:rPr>
        <w:t>Anonymized a</w:t>
      </w:r>
      <w:r w:rsidR="00AB3D8C" w:rsidRPr="00214ADD">
        <w:rPr>
          <w:rFonts w:ascii="Times New Roman" w:hAnsi="Times New Roman" w:cs="Times New Roman"/>
        </w:rPr>
        <w:t xml:space="preserve">dministrative data on </w:t>
      </w:r>
      <w:r w:rsidR="005E3567" w:rsidRPr="00214ADD">
        <w:rPr>
          <w:rFonts w:ascii="Times New Roman" w:hAnsi="Times New Roman" w:cs="Times New Roman"/>
        </w:rPr>
        <w:t>tax</w:t>
      </w:r>
      <w:r w:rsidR="00AB3D8C" w:rsidRPr="00214ADD">
        <w:rPr>
          <w:rFonts w:ascii="Times New Roman" w:hAnsi="Times New Roman" w:cs="Times New Roman"/>
        </w:rPr>
        <w:t xml:space="preserve"> assessments and disputes</w:t>
      </w:r>
      <w:r w:rsidR="002E75BD" w:rsidRPr="00214ADD">
        <w:rPr>
          <w:rFonts w:ascii="Times New Roman" w:hAnsi="Times New Roman" w:cs="Times New Roman"/>
        </w:rPr>
        <w:t xml:space="preserve"> (DGT, </w:t>
      </w:r>
      <w:r w:rsidR="00113BFA" w:rsidRPr="00214ADD">
        <w:rPr>
          <w:rFonts w:ascii="Times New Roman" w:hAnsi="Times New Roman" w:cs="Times New Roman"/>
        </w:rPr>
        <w:t>2018</w:t>
      </w:r>
      <w:r w:rsidR="00113BFA">
        <w:rPr>
          <w:rFonts w:ascii="Times New Roman" w:hAnsi="Times New Roman" w:cs="Times New Roman"/>
        </w:rPr>
        <w:t>d</w:t>
      </w:r>
      <w:r w:rsidR="002E75BD" w:rsidRPr="00214ADD">
        <w:rPr>
          <w:rFonts w:ascii="Times New Roman" w:hAnsi="Times New Roman" w:cs="Times New Roman"/>
        </w:rPr>
        <w:t>)</w:t>
      </w:r>
    </w:p>
    <w:p w14:paraId="01F19099" w14:textId="203E928D" w:rsidR="00BF29EB" w:rsidRPr="00214ADD" w:rsidRDefault="00767FB5" w:rsidP="004E3392">
      <w:pPr>
        <w:pStyle w:val="BlockText"/>
        <w:ind w:left="720" w:right="0"/>
        <w:jc w:val="both"/>
        <w:rPr>
          <w:rFonts w:ascii="Times New Roman" w:hAnsi="Times New Roman" w:cs="Times New Roman"/>
        </w:rPr>
      </w:pPr>
      <w:r w:rsidRPr="00214ADD">
        <w:rPr>
          <w:rFonts w:ascii="Times New Roman" w:hAnsi="Times New Roman" w:cs="Times New Roman"/>
        </w:rPr>
        <w:t xml:space="preserve">These data are stored in raw files </w:t>
      </w:r>
      <w:r w:rsidRPr="008C296D">
        <w:rPr>
          <w:rFonts w:ascii="Consolas" w:hAnsi="Consolas" w:cs="Times New Roman"/>
          <w:sz w:val="22"/>
          <w:szCs w:val="22"/>
        </w:rPr>
        <w:t>stpskp_ppn_skp_only.dta</w:t>
      </w:r>
      <w:r w:rsidRPr="00214ADD">
        <w:rPr>
          <w:rFonts w:ascii="Times New Roman" w:hAnsi="Times New Roman" w:cs="Times New Roman"/>
        </w:rPr>
        <w:t xml:space="preserve">, </w:t>
      </w:r>
      <w:r w:rsidRPr="008C296D">
        <w:rPr>
          <w:rFonts w:ascii="Consolas" w:hAnsi="Consolas" w:cs="Times New Roman"/>
          <w:sz w:val="22"/>
          <w:szCs w:val="22"/>
        </w:rPr>
        <w:t>stpskp_ppn.dta</w:t>
      </w:r>
      <w:r w:rsidR="00F6001B" w:rsidRPr="008C296D">
        <w:rPr>
          <w:rFonts w:ascii="Consolas" w:hAnsi="Consolas" w:cs="Times New Roman"/>
          <w:sz w:val="22"/>
          <w:szCs w:val="22"/>
        </w:rPr>
        <w:t>, and stp_skp_code.xlsx</w:t>
      </w:r>
      <w:r w:rsidRPr="00214ADD">
        <w:rPr>
          <w:rFonts w:ascii="Times New Roman" w:hAnsi="Times New Roman" w:cs="Times New Roman"/>
        </w:rPr>
        <w:t xml:space="preserve">. The </w:t>
      </w:r>
      <w:r w:rsidR="00F6001B" w:rsidRPr="00214ADD">
        <w:rPr>
          <w:rFonts w:ascii="Times New Roman" w:hAnsi="Times New Roman" w:cs="Times New Roman"/>
        </w:rPr>
        <w:t xml:space="preserve">first </w:t>
      </w:r>
      <w:r w:rsidRPr="00214ADD">
        <w:rPr>
          <w:rFonts w:ascii="Times New Roman" w:hAnsi="Times New Roman" w:cs="Times New Roman"/>
        </w:rPr>
        <w:t xml:space="preserve">two datasets contain information on </w:t>
      </w:r>
      <w:r w:rsidR="00F16141" w:rsidRPr="00214ADD">
        <w:rPr>
          <w:rFonts w:ascii="Times New Roman" w:hAnsi="Times New Roman" w:cs="Times New Roman"/>
        </w:rPr>
        <w:t xml:space="preserve">VAT </w:t>
      </w:r>
      <w:r w:rsidRPr="00214ADD">
        <w:rPr>
          <w:rFonts w:ascii="Times New Roman" w:hAnsi="Times New Roman" w:cs="Times New Roman"/>
        </w:rPr>
        <w:t>tax assessments</w:t>
      </w:r>
      <w:r w:rsidR="00C10DC0" w:rsidRPr="00214ADD">
        <w:rPr>
          <w:rFonts w:ascii="Times New Roman" w:hAnsi="Times New Roman" w:cs="Times New Roman"/>
        </w:rPr>
        <w:t xml:space="preserve"> </w:t>
      </w:r>
      <w:r w:rsidR="008165A8" w:rsidRPr="00214ADD">
        <w:rPr>
          <w:rFonts w:ascii="Times New Roman" w:hAnsi="Times New Roman" w:cs="Times New Roman"/>
        </w:rPr>
        <w:t>and disputes</w:t>
      </w:r>
      <w:r w:rsidR="00F6001B" w:rsidRPr="00214ADD">
        <w:rPr>
          <w:rFonts w:ascii="Times New Roman" w:hAnsi="Times New Roman" w:cs="Times New Roman"/>
        </w:rPr>
        <w:t xml:space="preserve">, whereas the </w:t>
      </w:r>
      <w:r w:rsidR="00E80F88" w:rsidRPr="00214ADD">
        <w:rPr>
          <w:rFonts w:ascii="Times New Roman" w:hAnsi="Times New Roman" w:cs="Times New Roman"/>
        </w:rPr>
        <w:t>third</w:t>
      </w:r>
      <w:r w:rsidR="00F6001B" w:rsidRPr="00214ADD">
        <w:rPr>
          <w:rFonts w:ascii="Times New Roman" w:hAnsi="Times New Roman" w:cs="Times New Roman"/>
        </w:rPr>
        <w:t xml:space="preserve"> contains</w:t>
      </w:r>
      <w:r w:rsidR="001B0365" w:rsidRPr="00214ADD">
        <w:rPr>
          <w:rFonts w:ascii="Times New Roman" w:hAnsi="Times New Roman" w:cs="Times New Roman"/>
        </w:rPr>
        <w:t xml:space="preserve"> assessment code descriptions</w:t>
      </w:r>
      <w:r w:rsidR="004F2610" w:rsidRPr="00214ADD">
        <w:rPr>
          <w:rFonts w:ascii="Times New Roman" w:hAnsi="Times New Roman" w:cs="Times New Roman"/>
        </w:rPr>
        <w:t>.</w:t>
      </w:r>
      <w:r w:rsidR="00A318A4" w:rsidRPr="00214ADD">
        <w:rPr>
          <w:rFonts w:ascii="Times New Roman" w:hAnsi="Times New Roman" w:cs="Times New Roman"/>
        </w:rPr>
        <w:t xml:space="preserve"> </w:t>
      </w:r>
      <w:r w:rsidR="00ED20E7" w:rsidRPr="00214ADD">
        <w:rPr>
          <w:rFonts w:ascii="Times New Roman" w:hAnsi="Times New Roman" w:cs="Times New Roman"/>
        </w:rPr>
        <w:t>See the paper’s Data Appendix for a detailed description.</w:t>
      </w:r>
    </w:p>
    <w:p w14:paraId="3CD0557C" w14:textId="6B06D67D" w:rsidR="00BF29EB" w:rsidRPr="00896A22" w:rsidRDefault="00BF29EB" w:rsidP="00BF29EB">
      <w:pPr>
        <w:pStyle w:val="BodyText"/>
        <w:rPr>
          <w:rFonts w:ascii="Times New Roman" w:hAnsi="Times New Roman" w:cs="Times New Roman"/>
        </w:rPr>
      </w:pPr>
    </w:p>
    <w:p w14:paraId="2D00C6A4" w14:textId="77777777" w:rsidR="00422081" w:rsidRDefault="00495AB0" w:rsidP="00BF29EB">
      <w:pPr>
        <w:pStyle w:val="BodyText"/>
        <w:rPr>
          <w:rFonts w:ascii="Times New Roman" w:hAnsi="Times New Roman" w:cs="Times New Roman"/>
        </w:rPr>
      </w:pPr>
      <w:r w:rsidRPr="00896A22">
        <w:rPr>
          <w:rFonts w:ascii="Times New Roman" w:hAnsi="Times New Roman" w:cs="Times New Roman"/>
        </w:rPr>
        <w:t>In addition</w:t>
      </w:r>
      <w:r>
        <w:rPr>
          <w:rFonts w:ascii="Times New Roman" w:hAnsi="Times New Roman" w:cs="Times New Roman"/>
        </w:rPr>
        <w:t>, this paper</w:t>
      </w:r>
      <w:r w:rsidR="00F20806">
        <w:rPr>
          <w:rFonts w:ascii="Times New Roman" w:hAnsi="Times New Roman" w:cs="Times New Roman"/>
        </w:rPr>
        <w:t xml:space="preserve"> uses auxiliary files </w:t>
      </w:r>
      <w:r w:rsidR="00CD142B">
        <w:rPr>
          <w:rFonts w:ascii="Times New Roman" w:hAnsi="Times New Roman" w:cs="Times New Roman"/>
        </w:rPr>
        <w:t>with</w:t>
      </w:r>
      <w:r w:rsidR="00F20806">
        <w:rPr>
          <w:rFonts w:ascii="Times New Roman" w:hAnsi="Times New Roman" w:cs="Times New Roman"/>
        </w:rPr>
        <w:t xml:space="preserve"> information from DGT documents, which also </w:t>
      </w:r>
      <w:r w:rsidR="00F20806" w:rsidRPr="00896A22">
        <w:rPr>
          <w:rFonts w:ascii="Times New Roman" w:hAnsi="Times New Roman" w:cs="Times New Roman"/>
          <w:b/>
          <w:bCs/>
        </w:rPr>
        <w:t>cannot be made public</w:t>
      </w:r>
      <w:r w:rsidR="00F20806">
        <w:rPr>
          <w:rFonts w:ascii="Times New Roman" w:hAnsi="Times New Roman" w:cs="Times New Roman"/>
        </w:rPr>
        <w:t xml:space="preserve">. </w:t>
      </w:r>
      <w:r w:rsidR="00662BD5">
        <w:rPr>
          <w:rFonts w:ascii="Times New Roman" w:hAnsi="Times New Roman" w:cs="Times New Roman"/>
        </w:rPr>
        <w:t xml:space="preserve">See </w:t>
      </w:r>
      <w:r w:rsidR="00BD3DE6">
        <w:rPr>
          <w:rFonts w:ascii="Consolas" w:hAnsi="Consolas" w:cs="Times New Roman"/>
          <w:sz w:val="22"/>
          <w:szCs w:val="22"/>
        </w:rPr>
        <w:t>0_1_C</w:t>
      </w:r>
      <w:r w:rsidR="00662BD5">
        <w:rPr>
          <w:rFonts w:ascii="Consolas" w:hAnsi="Consolas" w:cs="Times New Roman"/>
          <w:sz w:val="22"/>
          <w:szCs w:val="22"/>
        </w:rPr>
        <w:t xml:space="preserve">ompiled_tables_and_materials_list.xlsx </w:t>
      </w:r>
      <w:r w:rsidR="00662BD5" w:rsidRPr="00896A22">
        <w:rPr>
          <w:rFonts w:ascii="Times New Roman" w:hAnsi="Times New Roman" w:cs="Times New Roman"/>
        </w:rPr>
        <w:t>for a</w:t>
      </w:r>
      <w:r w:rsidR="00662BD5">
        <w:rPr>
          <w:rFonts w:ascii="Times New Roman" w:hAnsi="Times New Roman" w:cs="Times New Roman"/>
        </w:rPr>
        <w:t xml:space="preserve"> description of each dataset.</w:t>
      </w:r>
      <w:r w:rsidR="003D061E">
        <w:rPr>
          <w:rFonts w:ascii="Times New Roman" w:hAnsi="Times New Roman" w:cs="Times New Roman"/>
        </w:rPr>
        <w:t xml:space="preserve"> </w:t>
      </w:r>
    </w:p>
    <w:p w14:paraId="22F73BF9" w14:textId="30D94FED" w:rsidR="006D005A" w:rsidRDefault="003D061E" w:rsidP="00BF29EB">
      <w:pPr>
        <w:pStyle w:val="BodyText"/>
        <w:rPr>
          <w:rFonts w:ascii="Times New Roman" w:hAnsi="Times New Roman" w:cs="Times New Roman"/>
        </w:rPr>
      </w:pPr>
      <w:r>
        <w:rPr>
          <w:rFonts w:ascii="Times New Roman" w:hAnsi="Times New Roman" w:cs="Times New Roman"/>
        </w:rPr>
        <w:t>Researchers interested in obtaining these data</w:t>
      </w:r>
      <w:r w:rsidR="00A10823">
        <w:rPr>
          <w:rFonts w:ascii="Times New Roman" w:hAnsi="Times New Roman" w:cs="Times New Roman"/>
        </w:rPr>
        <w:t xml:space="preserve"> </w:t>
      </w:r>
      <w:r>
        <w:rPr>
          <w:rFonts w:ascii="Times New Roman" w:hAnsi="Times New Roman" w:cs="Times New Roman"/>
        </w:rPr>
        <w:t>should contact</w:t>
      </w:r>
      <w:r w:rsidR="00845B96">
        <w:rPr>
          <w:rFonts w:ascii="Times New Roman" w:hAnsi="Times New Roman" w:cs="Times New Roman"/>
        </w:rPr>
        <w:t xml:space="preserve"> DGT’s Subdirectorate of Public Relations</w:t>
      </w:r>
      <w:r w:rsidR="005E4BAB">
        <w:rPr>
          <w:rFonts w:ascii="Times New Roman" w:hAnsi="Times New Roman" w:cs="Times New Roman"/>
        </w:rPr>
        <w:t>:</w:t>
      </w:r>
    </w:p>
    <w:p w14:paraId="7F2BD2C9" w14:textId="77777777" w:rsidR="00607A09" w:rsidRPr="00280029" w:rsidRDefault="00607A09" w:rsidP="00F408C2">
      <w:pPr>
        <w:shd w:val="clear" w:color="auto" w:fill="FFFFFF"/>
        <w:ind w:left="720"/>
        <w:rPr>
          <w:rFonts w:eastAsiaTheme="minorHAnsi"/>
          <w:b/>
          <w:bCs/>
        </w:rPr>
      </w:pPr>
      <w:r w:rsidRPr="00280029">
        <w:rPr>
          <w:rFonts w:eastAsiaTheme="minorHAnsi"/>
          <w:b/>
          <w:bCs/>
        </w:rPr>
        <w:t>Subdirectorate of Public Relations</w:t>
      </w:r>
    </w:p>
    <w:p w14:paraId="4F4262ED" w14:textId="77777777" w:rsidR="00607A09" w:rsidRPr="00280029" w:rsidRDefault="00607A09" w:rsidP="00F408C2">
      <w:pPr>
        <w:shd w:val="clear" w:color="auto" w:fill="FFFFFF"/>
        <w:ind w:left="720"/>
        <w:rPr>
          <w:rFonts w:eastAsiaTheme="minorHAnsi"/>
        </w:rPr>
      </w:pPr>
      <w:r w:rsidRPr="00280029">
        <w:rPr>
          <w:rFonts w:eastAsiaTheme="minorHAnsi"/>
        </w:rPr>
        <w:t>Email: </w:t>
      </w:r>
      <w:hyperlink r:id="rId8" w:tgtFrame="_blank" w:history="1">
        <w:r w:rsidRPr="00280029">
          <w:rPr>
            <w:rFonts w:eastAsiaTheme="minorHAnsi"/>
          </w:rPr>
          <w:t>humas@pajak.go.id</w:t>
        </w:r>
      </w:hyperlink>
    </w:p>
    <w:p w14:paraId="1A0777A5" w14:textId="30BC2348" w:rsidR="00607A09" w:rsidRPr="00607A09" w:rsidRDefault="00607A09" w:rsidP="00F408C2">
      <w:pPr>
        <w:shd w:val="clear" w:color="auto" w:fill="FFFFFF"/>
        <w:ind w:left="720"/>
      </w:pPr>
      <w:r w:rsidRPr="00280029">
        <w:rPr>
          <w:rFonts w:eastAsiaTheme="minorHAnsi"/>
        </w:rPr>
        <w:t>Phone Number (DGT Head Office): +6221 525 0208; +6221 525 1609; +6221 526 2880 (can be found on this page </w:t>
      </w:r>
      <w:hyperlink r:id="rId9" w:tgtFrame="_blank" w:history="1">
        <w:r w:rsidRPr="00280029">
          <w:rPr>
            <w:rFonts w:eastAsiaTheme="minorHAnsi"/>
          </w:rPr>
          <w:t>https://www.pajak.go.id/hubungi-kami</w:t>
        </w:r>
      </w:hyperlink>
      <w:r w:rsidRPr="00280029">
        <w:rPr>
          <w:rFonts w:eastAsiaTheme="minorHAnsi"/>
        </w:rPr>
        <w:t>)</w:t>
      </w:r>
    </w:p>
    <w:p w14:paraId="03E4EA93" w14:textId="11D158CD" w:rsidR="00607A09" w:rsidRDefault="00607A09" w:rsidP="00280029"/>
    <w:p w14:paraId="27486513" w14:textId="44DB469A" w:rsidR="00422081" w:rsidRDefault="00C0027C" w:rsidP="00280029">
      <w:r>
        <w:lastRenderedPageBreak/>
        <w:t>Interested</w:t>
      </w:r>
      <w:r w:rsidR="00422081" w:rsidRPr="00422081">
        <w:t xml:space="preserve"> researchers will </w:t>
      </w:r>
      <w:r>
        <w:t xml:space="preserve">also </w:t>
      </w:r>
      <w:r w:rsidR="00422081" w:rsidRPr="00422081">
        <w:t>need to contact the research division for a research permission approval, following the information at https://eriset.pajak.go.id/, but should do so after coordination with the public relations divisio</w:t>
      </w:r>
      <w:r w:rsidR="00422081">
        <w:t>n.</w:t>
      </w:r>
    </w:p>
    <w:p w14:paraId="178173A2" w14:textId="77777777" w:rsidR="00422081" w:rsidRDefault="00422081" w:rsidP="00BF29EB">
      <w:pPr>
        <w:pStyle w:val="BodyText"/>
        <w:rPr>
          <w:rFonts w:ascii="Times New Roman" w:hAnsi="Times New Roman" w:cs="Times New Roman"/>
        </w:rPr>
      </w:pPr>
    </w:p>
    <w:p w14:paraId="2079DEAF" w14:textId="1273E2A9" w:rsidR="00F20806" w:rsidRPr="00896A22" w:rsidRDefault="00F20806" w:rsidP="00BF29EB">
      <w:pPr>
        <w:pStyle w:val="BodyText"/>
        <w:rPr>
          <w:rFonts w:ascii="Times New Roman" w:hAnsi="Times New Roman" w:cs="Times New Roman"/>
        </w:rPr>
      </w:pPr>
      <w:r>
        <w:rPr>
          <w:rFonts w:ascii="Times New Roman" w:hAnsi="Times New Roman" w:cs="Times New Roman"/>
        </w:rPr>
        <w:t>Finally, this paper uses</w:t>
      </w:r>
      <w:r w:rsidR="00F07AF1">
        <w:rPr>
          <w:rFonts w:ascii="Times New Roman" w:hAnsi="Times New Roman" w:cs="Times New Roman"/>
        </w:rPr>
        <w:t xml:space="preserve"> </w:t>
      </w:r>
      <w:r w:rsidR="00C30DE6">
        <w:rPr>
          <w:rFonts w:ascii="Times New Roman" w:hAnsi="Times New Roman" w:cs="Times New Roman"/>
        </w:rPr>
        <w:t>data</w:t>
      </w:r>
      <w:r w:rsidR="00F07AF1">
        <w:rPr>
          <w:rFonts w:ascii="Times New Roman" w:hAnsi="Times New Roman" w:cs="Times New Roman"/>
        </w:rPr>
        <w:t xml:space="preserve"> on</w:t>
      </w:r>
      <w:r w:rsidR="001B77B4">
        <w:rPr>
          <w:rFonts w:ascii="Times New Roman" w:hAnsi="Times New Roman" w:cs="Times New Roman"/>
        </w:rPr>
        <w:t xml:space="preserve"> </w:t>
      </w:r>
      <w:r w:rsidR="007E3EFF">
        <w:rPr>
          <w:rFonts w:ascii="Times New Roman" w:hAnsi="Times New Roman" w:cs="Times New Roman"/>
        </w:rPr>
        <w:t>the</w:t>
      </w:r>
      <w:r w:rsidR="001B77B4">
        <w:rPr>
          <w:rFonts w:ascii="Times New Roman" w:hAnsi="Times New Roman" w:cs="Times New Roman"/>
        </w:rPr>
        <w:t xml:space="preserve"> Indonesian </w:t>
      </w:r>
      <w:r w:rsidR="001B77B4" w:rsidRPr="001B77B4">
        <w:rPr>
          <w:rFonts w:ascii="Times New Roman" w:hAnsi="Times New Roman" w:cs="Times New Roman"/>
        </w:rPr>
        <w:t>GDP deflator</w:t>
      </w:r>
      <w:r w:rsidR="00F07AF1">
        <w:rPr>
          <w:rFonts w:ascii="Times New Roman" w:hAnsi="Times New Roman" w:cs="Times New Roman"/>
        </w:rPr>
        <w:t xml:space="preserve"> retrieved from the Federal Reserve Bank of St. Loui</w:t>
      </w:r>
      <w:r w:rsidR="00701466">
        <w:rPr>
          <w:rFonts w:ascii="Times New Roman" w:hAnsi="Times New Roman" w:cs="Times New Roman"/>
        </w:rPr>
        <w:t>s’ website</w:t>
      </w:r>
      <w:r w:rsidR="00FB6E1F">
        <w:rPr>
          <w:rFonts w:ascii="Times New Roman" w:hAnsi="Times New Roman" w:cs="Times New Roman"/>
        </w:rPr>
        <w:t>. S</w:t>
      </w:r>
      <w:r w:rsidR="007A6B82">
        <w:rPr>
          <w:rFonts w:ascii="Times New Roman" w:hAnsi="Times New Roman" w:cs="Times New Roman"/>
        </w:rPr>
        <w:t>ee</w:t>
      </w:r>
      <w:r w:rsidR="00C32D0E">
        <w:rPr>
          <w:rFonts w:ascii="Times New Roman" w:hAnsi="Times New Roman" w:cs="Times New Roman"/>
        </w:rPr>
        <w:t xml:space="preserve"> </w:t>
      </w:r>
      <w:r w:rsidR="00F07AF1">
        <w:rPr>
          <w:rFonts w:ascii="Times New Roman" w:hAnsi="Times New Roman" w:cs="Times New Roman"/>
        </w:rPr>
        <w:t>Organization for Economic Co-operation and Development (2018)</w:t>
      </w:r>
      <w:r w:rsidR="001B77B4">
        <w:rPr>
          <w:rFonts w:ascii="Times New Roman" w:hAnsi="Times New Roman" w:cs="Times New Roman"/>
        </w:rPr>
        <w:t>. We provide this dataset in this replication kit</w:t>
      </w:r>
      <w:r w:rsidR="00454769">
        <w:rPr>
          <w:rFonts w:ascii="Times New Roman" w:hAnsi="Times New Roman" w:cs="Times New Roman"/>
        </w:rPr>
        <w:t xml:space="preserve"> as file </w:t>
      </w:r>
      <w:r w:rsidR="00454769" w:rsidRPr="00896A22">
        <w:rPr>
          <w:rFonts w:ascii="Consolas" w:hAnsi="Consolas" w:cs="Times New Roman"/>
          <w:sz w:val="22"/>
          <w:szCs w:val="22"/>
        </w:rPr>
        <w:t>raw/auxiliary/ indonesia_gdp_deflator_FRED.csv.</w:t>
      </w:r>
    </w:p>
    <w:p w14:paraId="43C0F8FC" w14:textId="77777777" w:rsidR="00495AB0" w:rsidRPr="00BF29EB" w:rsidRDefault="00495AB0" w:rsidP="00BF29EB">
      <w:pPr>
        <w:pStyle w:val="BodyText"/>
      </w:pPr>
    </w:p>
    <w:p w14:paraId="1F6C3B5C" w14:textId="77777777" w:rsidR="004B2E42" w:rsidRPr="00573574" w:rsidRDefault="004B2E42" w:rsidP="004B2E42">
      <w:pPr>
        <w:jc w:val="both"/>
        <w:rPr>
          <w:b/>
        </w:rPr>
      </w:pPr>
      <w:r>
        <w:rPr>
          <w:b/>
        </w:rPr>
        <w:t>Dataset List</w:t>
      </w:r>
    </w:p>
    <w:p w14:paraId="162DEC93" w14:textId="0A885016" w:rsidR="004B2E42" w:rsidRPr="00573574" w:rsidRDefault="00D24E7A" w:rsidP="001F0DC0">
      <w:pPr>
        <w:pStyle w:val="BodyText"/>
        <w:rPr>
          <w:rFonts w:ascii="Times New Roman" w:hAnsi="Times New Roman" w:cs="Times New Roman"/>
        </w:rPr>
      </w:pPr>
      <w:r>
        <w:rPr>
          <w:rFonts w:ascii="Times New Roman" w:hAnsi="Times New Roman" w:cs="Times New Roman"/>
        </w:rPr>
        <w:t xml:space="preserve">See </w:t>
      </w:r>
      <w:r w:rsidR="00BD3DE6">
        <w:rPr>
          <w:rFonts w:ascii="Consolas" w:hAnsi="Consolas" w:cs="Times New Roman"/>
          <w:sz w:val="22"/>
          <w:szCs w:val="22"/>
        </w:rPr>
        <w:t>0_1_C</w:t>
      </w:r>
      <w:r w:rsidR="00C73798">
        <w:rPr>
          <w:rFonts w:ascii="Consolas" w:hAnsi="Consolas" w:cs="Times New Roman"/>
          <w:sz w:val="22"/>
          <w:szCs w:val="22"/>
        </w:rPr>
        <w:t>ompiled_tables_and_materials_list</w:t>
      </w:r>
      <w:r>
        <w:rPr>
          <w:rFonts w:ascii="Consolas" w:hAnsi="Consolas" w:cs="Times New Roman"/>
          <w:sz w:val="22"/>
          <w:szCs w:val="22"/>
        </w:rPr>
        <w:t>.xlsx</w:t>
      </w:r>
      <w:r>
        <w:rPr>
          <w:rFonts w:ascii="Times New Roman" w:hAnsi="Times New Roman" w:cs="Times New Roman"/>
        </w:rPr>
        <w:t xml:space="preserve">, sheet </w:t>
      </w:r>
      <w:r w:rsidR="00322899">
        <w:rPr>
          <w:rFonts w:ascii="Times New Roman" w:hAnsi="Times New Roman" w:cs="Times New Roman"/>
        </w:rPr>
        <w:t>“List of Raw Datasets”</w:t>
      </w:r>
      <w:r w:rsidR="00C73798">
        <w:rPr>
          <w:rFonts w:ascii="Times New Roman" w:hAnsi="Times New Roman" w:cs="Times New Roman"/>
        </w:rPr>
        <w:t>.</w:t>
      </w:r>
    </w:p>
    <w:p w14:paraId="7AD9870F" w14:textId="77777777" w:rsidR="00D27785" w:rsidRPr="00573574" w:rsidRDefault="00D27785" w:rsidP="00D27785">
      <w:pPr>
        <w:autoSpaceDE w:val="0"/>
        <w:autoSpaceDN w:val="0"/>
        <w:adjustRightInd w:val="0"/>
        <w:rPr>
          <w:b/>
          <w:bCs/>
        </w:rPr>
      </w:pPr>
      <w:bookmarkStart w:id="1" w:name="software-requirements"/>
    </w:p>
    <w:p w14:paraId="061F4B7B" w14:textId="77777777" w:rsidR="00D27785" w:rsidRPr="00A546D8" w:rsidRDefault="00A546D8" w:rsidP="00D27785">
      <w:pPr>
        <w:autoSpaceDE w:val="0"/>
        <w:autoSpaceDN w:val="0"/>
        <w:adjustRightInd w:val="0"/>
        <w:rPr>
          <w:b/>
          <w:bCs/>
          <w:sz w:val="28"/>
        </w:rPr>
      </w:pPr>
      <w:r w:rsidRPr="00A546D8">
        <w:rPr>
          <w:b/>
          <w:bCs/>
          <w:sz w:val="28"/>
        </w:rPr>
        <w:t xml:space="preserve">2. </w:t>
      </w:r>
      <w:r w:rsidR="00D27785" w:rsidRPr="00A546D8">
        <w:rPr>
          <w:b/>
          <w:bCs/>
          <w:sz w:val="28"/>
        </w:rPr>
        <w:t>Replication Instructions</w:t>
      </w:r>
    </w:p>
    <w:p w14:paraId="799F5910" w14:textId="77777777" w:rsidR="00D27785" w:rsidRPr="00573574" w:rsidRDefault="00D27785" w:rsidP="00D27785">
      <w:pPr>
        <w:autoSpaceDE w:val="0"/>
        <w:autoSpaceDN w:val="0"/>
        <w:adjustRightInd w:val="0"/>
        <w:rPr>
          <w:b/>
          <w:bCs/>
        </w:rPr>
      </w:pPr>
    </w:p>
    <w:p w14:paraId="7128C188" w14:textId="77777777" w:rsidR="00D27785" w:rsidRPr="00573574" w:rsidRDefault="00D27785" w:rsidP="00D27785">
      <w:pPr>
        <w:autoSpaceDE w:val="0"/>
        <w:autoSpaceDN w:val="0"/>
        <w:adjustRightInd w:val="0"/>
        <w:rPr>
          <w:b/>
          <w:bCs/>
        </w:rPr>
      </w:pPr>
      <w:r w:rsidRPr="00573574">
        <w:rPr>
          <w:b/>
          <w:bCs/>
        </w:rPr>
        <w:t>Software Requirements</w:t>
      </w:r>
      <w:bookmarkEnd w:id="1"/>
    </w:p>
    <w:p w14:paraId="26FFD6FC" w14:textId="4F6B7E31" w:rsidR="00342E6E" w:rsidRDefault="00342E6E" w:rsidP="00342E6E">
      <w:pPr>
        <w:autoSpaceDE w:val="0"/>
        <w:autoSpaceDN w:val="0"/>
        <w:adjustRightInd w:val="0"/>
      </w:pPr>
      <w:r w:rsidRPr="00342E6E">
        <w:t xml:space="preserve">All Stata .do files were run on batch mode in Stata 14.2. </w:t>
      </w:r>
      <w:r w:rsidR="003E0204">
        <w:t xml:space="preserve">The following </w:t>
      </w:r>
      <w:r w:rsidR="009C1E1C">
        <w:t xml:space="preserve">.ado </w:t>
      </w:r>
      <w:r w:rsidR="003E0204">
        <w:t xml:space="preserve">packages were </w:t>
      </w:r>
      <w:r w:rsidR="00DE589E">
        <w:t>installed</w:t>
      </w:r>
      <w:r w:rsidR="008A5D02">
        <w:t xml:space="preserve">, and are provided in the subdirectory </w:t>
      </w:r>
      <w:r w:rsidR="008A5D02" w:rsidRPr="00280029">
        <w:rPr>
          <w:rFonts w:ascii="Consolas" w:hAnsi="Consolas"/>
          <w:sz w:val="22"/>
          <w:szCs w:val="22"/>
        </w:rPr>
        <w:t>code/</w:t>
      </w:r>
      <w:r w:rsidR="008A5D02">
        <w:rPr>
          <w:rFonts w:ascii="Consolas" w:hAnsi="Consolas"/>
          <w:sz w:val="22"/>
          <w:szCs w:val="22"/>
        </w:rPr>
        <w:t>ado</w:t>
      </w:r>
      <w:r w:rsidR="008A5D02" w:rsidRPr="00280029">
        <w:rPr>
          <w:rFonts w:ascii="Consolas" w:hAnsi="Consolas"/>
          <w:sz w:val="22"/>
          <w:szCs w:val="22"/>
        </w:rPr>
        <w:t>/</w:t>
      </w:r>
      <w:r w:rsidR="008A5D02">
        <w:rPr>
          <w:color w:val="000000" w:themeColor="text1"/>
        </w:rPr>
        <w:t xml:space="preserve"> </w:t>
      </w:r>
      <w:r w:rsidR="008A5D02">
        <w:t>for ease:</w:t>
      </w:r>
    </w:p>
    <w:p w14:paraId="4C76FDA8" w14:textId="0BEDF857" w:rsidR="002D4747" w:rsidRDefault="002D4747" w:rsidP="00342E6E">
      <w:pPr>
        <w:autoSpaceDE w:val="0"/>
        <w:autoSpaceDN w:val="0"/>
        <w:adjustRightInd w:val="0"/>
      </w:pPr>
    </w:p>
    <w:tbl>
      <w:tblPr>
        <w:tblW w:w="4980" w:type="dxa"/>
        <w:tblLook w:val="04A0" w:firstRow="1" w:lastRow="0" w:firstColumn="1" w:lastColumn="0" w:noHBand="0" w:noVBand="1"/>
      </w:tblPr>
      <w:tblGrid>
        <w:gridCol w:w="1300"/>
        <w:gridCol w:w="2000"/>
        <w:gridCol w:w="1680"/>
      </w:tblGrid>
      <w:tr w:rsidR="002178E7" w:rsidRPr="002178E7" w14:paraId="49EA9697" w14:textId="77777777" w:rsidTr="002178E7">
        <w:trPr>
          <w:trHeight w:val="320"/>
        </w:trPr>
        <w:tc>
          <w:tcPr>
            <w:tcW w:w="1300" w:type="dxa"/>
            <w:tcBorders>
              <w:top w:val="nil"/>
              <w:left w:val="nil"/>
              <w:bottom w:val="nil"/>
              <w:right w:val="nil"/>
            </w:tcBorders>
            <w:shd w:val="clear" w:color="auto" w:fill="auto"/>
            <w:noWrap/>
            <w:vAlign w:val="bottom"/>
            <w:hideMark/>
          </w:tcPr>
          <w:p w14:paraId="103E384F" w14:textId="77777777" w:rsidR="002178E7" w:rsidRPr="0095594C" w:rsidRDefault="002178E7" w:rsidP="002178E7">
            <w:pPr>
              <w:rPr>
                <w:b/>
                <w:bCs/>
                <w:color w:val="000000"/>
              </w:rPr>
            </w:pPr>
            <w:r w:rsidRPr="0095594C">
              <w:rPr>
                <w:b/>
                <w:bCs/>
                <w:color w:val="000000"/>
              </w:rPr>
              <w:t>Package</w:t>
            </w:r>
          </w:p>
        </w:tc>
        <w:tc>
          <w:tcPr>
            <w:tcW w:w="2000" w:type="dxa"/>
            <w:tcBorders>
              <w:top w:val="nil"/>
              <w:left w:val="nil"/>
              <w:bottom w:val="nil"/>
              <w:right w:val="nil"/>
            </w:tcBorders>
            <w:shd w:val="clear" w:color="auto" w:fill="auto"/>
            <w:noWrap/>
            <w:vAlign w:val="bottom"/>
            <w:hideMark/>
          </w:tcPr>
          <w:p w14:paraId="3E02D643" w14:textId="77777777" w:rsidR="002178E7" w:rsidRPr="0095594C" w:rsidRDefault="002178E7" w:rsidP="002178E7">
            <w:pPr>
              <w:rPr>
                <w:b/>
                <w:bCs/>
                <w:color w:val="000000"/>
              </w:rPr>
            </w:pPr>
            <w:r w:rsidRPr="0095594C">
              <w:rPr>
                <w:b/>
                <w:bCs/>
                <w:color w:val="000000"/>
              </w:rPr>
              <w:t>Version number</w:t>
            </w:r>
          </w:p>
        </w:tc>
        <w:tc>
          <w:tcPr>
            <w:tcW w:w="1680" w:type="dxa"/>
            <w:tcBorders>
              <w:top w:val="nil"/>
              <w:left w:val="nil"/>
              <w:bottom w:val="nil"/>
              <w:right w:val="nil"/>
            </w:tcBorders>
            <w:shd w:val="clear" w:color="auto" w:fill="auto"/>
            <w:noWrap/>
            <w:vAlign w:val="bottom"/>
            <w:hideMark/>
          </w:tcPr>
          <w:p w14:paraId="0DE29E96" w14:textId="77777777" w:rsidR="002178E7" w:rsidRPr="0095594C" w:rsidRDefault="002178E7" w:rsidP="002178E7">
            <w:pPr>
              <w:rPr>
                <w:b/>
                <w:bCs/>
                <w:color w:val="000000"/>
              </w:rPr>
            </w:pPr>
            <w:r w:rsidRPr="0095594C">
              <w:rPr>
                <w:b/>
                <w:bCs/>
                <w:color w:val="000000"/>
              </w:rPr>
              <w:t>Version date</w:t>
            </w:r>
          </w:p>
        </w:tc>
      </w:tr>
      <w:tr w:rsidR="002178E7" w:rsidRPr="002178E7" w14:paraId="7D5D5614" w14:textId="77777777" w:rsidTr="002178E7">
        <w:trPr>
          <w:trHeight w:val="320"/>
        </w:trPr>
        <w:tc>
          <w:tcPr>
            <w:tcW w:w="1300" w:type="dxa"/>
            <w:tcBorders>
              <w:top w:val="nil"/>
              <w:left w:val="nil"/>
              <w:bottom w:val="nil"/>
              <w:right w:val="nil"/>
            </w:tcBorders>
            <w:shd w:val="clear" w:color="auto" w:fill="auto"/>
            <w:noWrap/>
            <w:vAlign w:val="center"/>
            <w:hideMark/>
          </w:tcPr>
          <w:p w14:paraId="479FFE3D" w14:textId="77777777" w:rsidR="002178E7" w:rsidRPr="001857AD" w:rsidRDefault="002178E7" w:rsidP="002178E7">
            <w:pPr>
              <w:rPr>
                <w:color w:val="000000"/>
              </w:rPr>
            </w:pPr>
            <w:r w:rsidRPr="002178E7">
              <w:rPr>
                <w:color w:val="000000"/>
              </w:rPr>
              <w:t>binscatter</w:t>
            </w:r>
          </w:p>
        </w:tc>
        <w:tc>
          <w:tcPr>
            <w:tcW w:w="2000" w:type="dxa"/>
            <w:tcBorders>
              <w:top w:val="nil"/>
              <w:left w:val="nil"/>
              <w:bottom w:val="nil"/>
              <w:right w:val="nil"/>
            </w:tcBorders>
            <w:shd w:val="clear" w:color="auto" w:fill="auto"/>
            <w:noWrap/>
            <w:vAlign w:val="bottom"/>
            <w:hideMark/>
          </w:tcPr>
          <w:p w14:paraId="5FE94CC4" w14:textId="77777777" w:rsidR="002178E7" w:rsidRPr="0095594C" w:rsidRDefault="002178E7" w:rsidP="002178E7">
            <w:pPr>
              <w:rPr>
                <w:color w:val="000000"/>
              </w:rPr>
            </w:pPr>
            <w:r w:rsidRPr="0095594C">
              <w:rPr>
                <w:color w:val="000000"/>
              </w:rPr>
              <w:t>7.02</w:t>
            </w:r>
          </w:p>
        </w:tc>
        <w:tc>
          <w:tcPr>
            <w:tcW w:w="1680" w:type="dxa"/>
            <w:tcBorders>
              <w:top w:val="nil"/>
              <w:left w:val="nil"/>
              <w:bottom w:val="nil"/>
              <w:right w:val="nil"/>
            </w:tcBorders>
            <w:shd w:val="clear" w:color="auto" w:fill="auto"/>
            <w:noWrap/>
            <w:vAlign w:val="bottom"/>
            <w:hideMark/>
          </w:tcPr>
          <w:p w14:paraId="1432D68B" w14:textId="77777777" w:rsidR="002178E7" w:rsidRPr="0095594C" w:rsidRDefault="002178E7" w:rsidP="002178E7">
            <w:pPr>
              <w:rPr>
                <w:color w:val="000000"/>
              </w:rPr>
            </w:pPr>
            <w:r w:rsidRPr="0095594C">
              <w:rPr>
                <w:color w:val="000000"/>
              </w:rPr>
              <w:t>24-Nov-13</w:t>
            </w:r>
          </w:p>
        </w:tc>
      </w:tr>
      <w:tr w:rsidR="002178E7" w:rsidRPr="002178E7" w14:paraId="139CF3AD" w14:textId="77777777" w:rsidTr="002178E7">
        <w:trPr>
          <w:trHeight w:val="320"/>
        </w:trPr>
        <w:tc>
          <w:tcPr>
            <w:tcW w:w="1300" w:type="dxa"/>
            <w:tcBorders>
              <w:top w:val="nil"/>
              <w:left w:val="nil"/>
              <w:bottom w:val="nil"/>
              <w:right w:val="nil"/>
            </w:tcBorders>
            <w:shd w:val="clear" w:color="auto" w:fill="auto"/>
            <w:noWrap/>
            <w:vAlign w:val="center"/>
            <w:hideMark/>
          </w:tcPr>
          <w:p w14:paraId="00BC3754" w14:textId="77777777" w:rsidR="002178E7" w:rsidRPr="001857AD" w:rsidRDefault="002178E7" w:rsidP="002178E7">
            <w:pPr>
              <w:rPr>
                <w:color w:val="000000"/>
              </w:rPr>
            </w:pPr>
            <w:r w:rsidRPr="002178E7">
              <w:rPr>
                <w:color w:val="000000"/>
              </w:rPr>
              <w:t>ebalance</w:t>
            </w:r>
          </w:p>
        </w:tc>
        <w:tc>
          <w:tcPr>
            <w:tcW w:w="2000" w:type="dxa"/>
            <w:tcBorders>
              <w:top w:val="nil"/>
              <w:left w:val="nil"/>
              <w:bottom w:val="nil"/>
              <w:right w:val="nil"/>
            </w:tcBorders>
            <w:shd w:val="clear" w:color="auto" w:fill="auto"/>
            <w:noWrap/>
            <w:vAlign w:val="bottom"/>
            <w:hideMark/>
          </w:tcPr>
          <w:p w14:paraId="4FA340F2" w14:textId="77777777" w:rsidR="002178E7" w:rsidRPr="0095594C" w:rsidRDefault="002178E7" w:rsidP="002178E7">
            <w:pPr>
              <w:rPr>
                <w:color w:val="000000"/>
              </w:rPr>
            </w:pPr>
            <w:r w:rsidRPr="0095594C">
              <w:rPr>
                <w:color w:val="000000"/>
              </w:rPr>
              <w:t>1.5.4</w:t>
            </w:r>
          </w:p>
        </w:tc>
        <w:tc>
          <w:tcPr>
            <w:tcW w:w="1680" w:type="dxa"/>
            <w:tcBorders>
              <w:top w:val="nil"/>
              <w:left w:val="nil"/>
              <w:bottom w:val="nil"/>
              <w:right w:val="nil"/>
            </w:tcBorders>
            <w:shd w:val="clear" w:color="auto" w:fill="auto"/>
            <w:noWrap/>
            <w:vAlign w:val="bottom"/>
            <w:hideMark/>
          </w:tcPr>
          <w:p w14:paraId="44FF5CEE" w14:textId="77777777" w:rsidR="002178E7" w:rsidRPr="0095594C" w:rsidRDefault="002178E7" w:rsidP="002178E7">
            <w:pPr>
              <w:rPr>
                <w:color w:val="000000"/>
              </w:rPr>
            </w:pPr>
            <w:r w:rsidRPr="0095594C">
              <w:rPr>
                <w:color w:val="000000"/>
              </w:rPr>
              <w:t>29-Jan-15</w:t>
            </w:r>
          </w:p>
        </w:tc>
      </w:tr>
      <w:tr w:rsidR="002178E7" w:rsidRPr="002178E7" w14:paraId="5A89542A" w14:textId="77777777" w:rsidTr="002178E7">
        <w:trPr>
          <w:trHeight w:val="320"/>
        </w:trPr>
        <w:tc>
          <w:tcPr>
            <w:tcW w:w="1300" w:type="dxa"/>
            <w:tcBorders>
              <w:top w:val="nil"/>
              <w:left w:val="nil"/>
              <w:bottom w:val="nil"/>
              <w:right w:val="nil"/>
            </w:tcBorders>
            <w:shd w:val="clear" w:color="auto" w:fill="auto"/>
            <w:noWrap/>
            <w:vAlign w:val="center"/>
            <w:hideMark/>
          </w:tcPr>
          <w:p w14:paraId="073CE5D4" w14:textId="77777777" w:rsidR="002178E7" w:rsidRPr="001857AD" w:rsidRDefault="002178E7" w:rsidP="002178E7">
            <w:pPr>
              <w:rPr>
                <w:color w:val="000000"/>
              </w:rPr>
            </w:pPr>
            <w:r w:rsidRPr="002178E7">
              <w:rPr>
                <w:color w:val="000000"/>
              </w:rPr>
              <w:t>gtools</w:t>
            </w:r>
          </w:p>
        </w:tc>
        <w:tc>
          <w:tcPr>
            <w:tcW w:w="2000" w:type="dxa"/>
            <w:tcBorders>
              <w:top w:val="nil"/>
              <w:left w:val="nil"/>
              <w:bottom w:val="nil"/>
              <w:right w:val="nil"/>
            </w:tcBorders>
            <w:shd w:val="clear" w:color="auto" w:fill="auto"/>
            <w:noWrap/>
            <w:vAlign w:val="bottom"/>
            <w:hideMark/>
          </w:tcPr>
          <w:p w14:paraId="4649AF69" w14:textId="77777777" w:rsidR="002178E7" w:rsidRPr="0095594C" w:rsidRDefault="002178E7" w:rsidP="002178E7">
            <w:pPr>
              <w:rPr>
                <w:color w:val="000000"/>
              </w:rPr>
            </w:pPr>
            <w:r w:rsidRPr="0095594C">
              <w:rPr>
                <w:color w:val="000000"/>
              </w:rPr>
              <w:t xml:space="preserve">1.0.1 </w:t>
            </w:r>
          </w:p>
        </w:tc>
        <w:tc>
          <w:tcPr>
            <w:tcW w:w="1680" w:type="dxa"/>
            <w:tcBorders>
              <w:top w:val="nil"/>
              <w:left w:val="nil"/>
              <w:bottom w:val="nil"/>
              <w:right w:val="nil"/>
            </w:tcBorders>
            <w:shd w:val="clear" w:color="auto" w:fill="auto"/>
            <w:noWrap/>
            <w:vAlign w:val="bottom"/>
            <w:hideMark/>
          </w:tcPr>
          <w:p w14:paraId="13DB2E3B" w14:textId="77777777" w:rsidR="002178E7" w:rsidRPr="0095594C" w:rsidRDefault="002178E7" w:rsidP="002178E7">
            <w:pPr>
              <w:rPr>
                <w:color w:val="000000"/>
              </w:rPr>
            </w:pPr>
            <w:r w:rsidRPr="0095594C">
              <w:rPr>
                <w:color w:val="000000"/>
              </w:rPr>
              <w:t>23-Jul-18</w:t>
            </w:r>
          </w:p>
        </w:tc>
      </w:tr>
      <w:tr w:rsidR="002178E7" w:rsidRPr="002178E7" w14:paraId="549841D4" w14:textId="77777777" w:rsidTr="002178E7">
        <w:trPr>
          <w:trHeight w:val="320"/>
        </w:trPr>
        <w:tc>
          <w:tcPr>
            <w:tcW w:w="1300" w:type="dxa"/>
            <w:tcBorders>
              <w:top w:val="nil"/>
              <w:left w:val="nil"/>
              <w:bottom w:val="nil"/>
              <w:right w:val="nil"/>
            </w:tcBorders>
            <w:shd w:val="clear" w:color="auto" w:fill="auto"/>
            <w:noWrap/>
            <w:vAlign w:val="center"/>
            <w:hideMark/>
          </w:tcPr>
          <w:p w14:paraId="616EBB14" w14:textId="77777777" w:rsidR="002178E7" w:rsidRPr="001857AD" w:rsidRDefault="002178E7" w:rsidP="002178E7">
            <w:pPr>
              <w:rPr>
                <w:color w:val="000000"/>
              </w:rPr>
            </w:pPr>
            <w:r w:rsidRPr="002178E7">
              <w:rPr>
                <w:color w:val="000000"/>
              </w:rPr>
              <w:t>ivreg2</w:t>
            </w:r>
          </w:p>
        </w:tc>
        <w:tc>
          <w:tcPr>
            <w:tcW w:w="2000" w:type="dxa"/>
            <w:tcBorders>
              <w:top w:val="nil"/>
              <w:left w:val="nil"/>
              <w:bottom w:val="nil"/>
              <w:right w:val="nil"/>
            </w:tcBorders>
            <w:shd w:val="clear" w:color="auto" w:fill="auto"/>
            <w:noWrap/>
            <w:vAlign w:val="bottom"/>
            <w:hideMark/>
          </w:tcPr>
          <w:p w14:paraId="700BD6B7" w14:textId="77777777" w:rsidR="002178E7" w:rsidRPr="0095594C" w:rsidRDefault="002178E7" w:rsidP="002178E7">
            <w:pPr>
              <w:rPr>
                <w:color w:val="000000"/>
              </w:rPr>
            </w:pPr>
            <w:r w:rsidRPr="0095594C">
              <w:rPr>
                <w:color w:val="000000"/>
              </w:rPr>
              <w:t xml:space="preserve">4.1.10  </w:t>
            </w:r>
          </w:p>
        </w:tc>
        <w:tc>
          <w:tcPr>
            <w:tcW w:w="1680" w:type="dxa"/>
            <w:tcBorders>
              <w:top w:val="nil"/>
              <w:left w:val="nil"/>
              <w:bottom w:val="nil"/>
              <w:right w:val="nil"/>
            </w:tcBorders>
            <w:shd w:val="clear" w:color="auto" w:fill="auto"/>
            <w:noWrap/>
            <w:vAlign w:val="bottom"/>
            <w:hideMark/>
          </w:tcPr>
          <w:p w14:paraId="11390C44" w14:textId="77777777" w:rsidR="002178E7" w:rsidRPr="0095594C" w:rsidRDefault="002178E7" w:rsidP="002178E7">
            <w:pPr>
              <w:rPr>
                <w:color w:val="000000"/>
              </w:rPr>
            </w:pPr>
            <w:r w:rsidRPr="0095594C">
              <w:rPr>
                <w:color w:val="000000"/>
              </w:rPr>
              <w:t>9-Feb-16</w:t>
            </w:r>
          </w:p>
        </w:tc>
      </w:tr>
      <w:tr w:rsidR="002178E7" w:rsidRPr="002178E7" w14:paraId="71089850" w14:textId="77777777" w:rsidTr="002178E7">
        <w:trPr>
          <w:trHeight w:val="320"/>
        </w:trPr>
        <w:tc>
          <w:tcPr>
            <w:tcW w:w="1300" w:type="dxa"/>
            <w:tcBorders>
              <w:top w:val="nil"/>
              <w:left w:val="nil"/>
              <w:bottom w:val="nil"/>
              <w:right w:val="nil"/>
            </w:tcBorders>
            <w:shd w:val="clear" w:color="auto" w:fill="auto"/>
            <w:noWrap/>
            <w:vAlign w:val="center"/>
            <w:hideMark/>
          </w:tcPr>
          <w:p w14:paraId="70223389" w14:textId="77777777" w:rsidR="002178E7" w:rsidRPr="001857AD" w:rsidRDefault="002178E7" w:rsidP="002178E7">
            <w:pPr>
              <w:rPr>
                <w:color w:val="000000"/>
              </w:rPr>
            </w:pPr>
            <w:r w:rsidRPr="002178E7">
              <w:rPr>
                <w:color w:val="000000"/>
              </w:rPr>
              <w:t>ivreghdfe</w:t>
            </w:r>
          </w:p>
        </w:tc>
        <w:tc>
          <w:tcPr>
            <w:tcW w:w="2000" w:type="dxa"/>
            <w:tcBorders>
              <w:top w:val="nil"/>
              <w:left w:val="nil"/>
              <w:bottom w:val="nil"/>
              <w:right w:val="nil"/>
            </w:tcBorders>
            <w:shd w:val="clear" w:color="auto" w:fill="auto"/>
            <w:noWrap/>
            <w:vAlign w:val="bottom"/>
            <w:hideMark/>
          </w:tcPr>
          <w:p w14:paraId="6B200095" w14:textId="77777777" w:rsidR="002178E7" w:rsidRPr="0095594C" w:rsidRDefault="002178E7" w:rsidP="002178E7">
            <w:pPr>
              <w:rPr>
                <w:color w:val="000000"/>
              </w:rPr>
            </w:pPr>
            <w:r w:rsidRPr="0095594C">
              <w:rPr>
                <w:color w:val="000000"/>
              </w:rPr>
              <w:t xml:space="preserve">1.0.0  </w:t>
            </w:r>
          </w:p>
        </w:tc>
        <w:tc>
          <w:tcPr>
            <w:tcW w:w="1680" w:type="dxa"/>
            <w:tcBorders>
              <w:top w:val="nil"/>
              <w:left w:val="nil"/>
              <w:bottom w:val="nil"/>
              <w:right w:val="nil"/>
            </w:tcBorders>
            <w:shd w:val="clear" w:color="auto" w:fill="auto"/>
            <w:noWrap/>
            <w:vAlign w:val="bottom"/>
            <w:hideMark/>
          </w:tcPr>
          <w:p w14:paraId="45C35109" w14:textId="77777777" w:rsidR="002178E7" w:rsidRPr="0095594C" w:rsidRDefault="002178E7" w:rsidP="002178E7">
            <w:pPr>
              <w:rPr>
                <w:color w:val="000000"/>
              </w:rPr>
            </w:pPr>
            <w:r w:rsidRPr="0095594C">
              <w:rPr>
                <w:color w:val="000000"/>
              </w:rPr>
              <w:t>7-Jul-18</w:t>
            </w:r>
          </w:p>
        </w:tc>
      </w:tr>
      <w:tr w:rsidR="002178E7" w:rsidRPr="002178E7" w14:paraId="3D827ED6" w14:textId="77777777" w:rsidTr="002178E7">
        <w:trPr>
          <w:trHeight w:val="320"/>
        </w:trPr>
        <w:tc>
          <w:tcPr>
            <w:tcW w:w="1300" w:type="dxa"/>
            <w:tcBorders>
              <w:top w:val="nil"/>
              <w:left w:val="nil"/>
              <w:bottom w:val="nil"/>
              <w:right w:val="nil"/>
            </w:tcBorders>
            <w:shd w:val="clear" w:color="auto" w:fill="auto"/>
            <w:noWrap/>
            <w:vAlign w:val="center"/>
            <w:hideMark/>
          </w:tcPr>
          <w:p w14:paraId="71C8314A" w14:textId="77777777" w:rsidR="002178E7" w:rsidRPr="001857AD" w:rsidRDefault="002178E7" w:rsidP="002178E7">
            <w:pPr>
              <w:rPr>
                <w:color w:val="000000"/>
              </w:rPr>
            </w:pPr>
            <w:r w:rsidRPr="002178E7">
              <w:rPr>
                <w:color w:val="000000"/>
              </w:rPr>
              <w:t xml:space="preserve">reghdfe </w:t>
            </w:r>
          </w:p>
        </w:tc>
        <w:tc>
          <w:tcPr>
            <w:tcW w:w="2000" w:type="dxa"/>
            <w:tcBorders>
              <w:top w:val="nil"/>
              <w:left w:val="nil"/>
              <w:bottom w:val="nil"/>
              <w:right w:val="nil"/>
            </w:tcBorders>
            <w:shd w:val="clear" w:color="auto" w:fill="auto"/>
            <w:noWrap/>
            <w:vAlign w:val="bottom"/>
            <w:hideMark/>
          </w:tcPr>
          <w:p w14:paraId="2817EA62" w14:textId="77777777" w:rsidR="002178E7" w:rsidRPr="0095594C" w:rsidRDefault="002178E7" w:rsidP="002178E7">
            <w:pPr>
              <w:rPr>
                <w:color w:val="000000"/>
              </w:rPr>
            </w:pPr>
            <w:r w:rsidRPr="0095594C">
              <w:rPr>
                <w:color w:val="000000"/>
              </w:rPr>
              <w:t xml:space="preserve">5.7.3 </w:t>
            </w:r>
          </w:p>
        </w:tc>
        <w:tc>
          <w:tcPr>
            <w:tcW w:w="1680" w:type="dxa"/>
            <w:tcBorders>
              <w:top w:val="nil"/>
              <w:left w:val="nil"/>
              <w:bottom w:val="nil"/>
              <w:right w:val="nil"/>
            </w:tcBorders>
            <w:shd w:val="clear" w:color="auto" w:fill="auto"/>
            <w:noWrap/>
            <w:vAlign w:val="bottom"/>
            <w:hideMark/>
          </w:tcPr>
          <w:p w14:paraId="388766E0" w14:textId="77777777" w:rsidR="002178E7" w:rsidRPr="0095594C" w:rsidRDefault="002178E7" w:rsidP="002178E7">
            <w:pPr>
              <w:rPr>
                <w:color w:val="000000"/>
              </w:rPr>
            </w:pPr>
            <w:r w:rsidRPr="0095594C">
              <w:rPr>
                <w:color w:val="000000"/>
              </w:rPr>
              <w:t>13-Nov-19</w:t>
            </w:r>
          </w:p>
        </w:tc>
      </w:tr>
      <w:tr w:rsidR="002178E7" w:rsidRPr="002178E7" w14:paraId="321D7E47" w14:textId="77777777" w:rsidTr="002178E7">
        <w:trPr>
          <w:trHeight w:val="320"/>
        </w:trPr>
        <w:tc>
          <w:tcPr>
            <w:tcW w:w="1300" w:type="dxa"/>
            <w:tcBorders>
              <w:top w:val="nil"/>
              <w:left w:val="nil"/>
              <w:bottom w:val="nil"/>
              <w:right w:val="nil"/>
            </w:tcBorders>
            <w:shd w:val="clear" w:color="auto" w:fill="auto"/>
            <w:noWrap/>
            <w:vAlign w:val="center"/>
            <w:hideMark/>
          </w:tcPr>
          <w:p w14:paraId="52489AF4" w14:textId="77777777" w:rsidR="002178E7" w:rsidRPr="001857AD" w:rsidRDefault="002178E7" w:rsidP="002178E7">
            <w:pPr>
              <w:rPr>
                <w:color w:val="000000"/>
              </w:rPr>
            </w:pPr>
            <w:r w:rsidRPr="002178E7">
              <w:rPr>
                <w:color w:val="000000"/>
              </w:rPr>
              <w:t>renvars</w:t>
            </w:r>
          </w:p>
        </w:tc>
        <w:tc>
          <w:tcPr>
            <w:tcW w:w="2000" w:type="dxa"/>
            <w:tcBorders>
              <w:top w:val="nil"/>
              <w:left w:val="nil"/>
              <w:bottom w:val="nil"/>
              <w:right w:val="nil"/>
            </w:tcBorders>
            <w:shd w:val="clear" w:color="auto" w:fill="auto"/>
            <w:noWrap/>
            <w:vAlign w:val="bottom"/>
            <w:hideMark/>
          </w:tcPr>
          <w:p w14:paraId="466D59DB" w14:textId="77777777" w:rsidR="002178E7" w:rsidRPr="0095594C" w:rsidRDefault="002178E7" w:rsidP="002178E7">
            <w:pPr>
              <w:rPr>
                <w:color w:val="000000"/>
              </w:rPr>
            </w:pPr>
            <w:r w:rsidRPr="0095594C">
              <w:rPr>
                <w:color w:val="000000"/>
              </w:rPr>
              <w:t xml:space="preserve">2.4.0  </w:t>
            </w:r>
          </w:p>
        </w:tc>
        <w:tc>
          <w:tcPr>
            <w:tcW w:w="1680" w:type="dxa"/>
            <w:tcBorders>
              <w:top w:val="nil"/>
              <w:left w:val="nil"/>
              <w:bottom w:val="nil"/>
              <w:right w:val="nil"/>
            </w:tcBorders>
            <w:shd w:val="clear" w:color="auto" w:fill="auto"/>
            <w:noWrap/>
            <w:vAlign w:val="bottom"/>
            <w:hideMark/>
          </w:tcPr>
          <w:p w14:paraId="6C1D10E1" w14:textId="77777777" w:rsidR="002178E7" w:rsidRPr="0095594C" w:rsidRDefault="002178E7" w:rsidP="002178E7">
            <w:pPr>
              <w:rPr>
                <w:color w:val="000000"/>
              </w:rPr>
            </w:pPr>
            <w:r w:rsidRPr="0095594C">
              <w:rPr>
                <w:color w:val="000000"/>
              </w:rPr>
              <w:t>22-Aug-05</w:t>
            </w:r>
          </w:p>
        </w:tc>
      </w:tr>
      <w:tr w:rsidR="002178E7" w:rsidRPr="002178E7" w14:paraId="2A4E5B42" w14:textId="77777777" w:rsidTr="002178E7">
        <w:trPr>
          <w:trHeight w:val="320"/>
        </w:trPr>
        <w:tc>
          <w:tcPr>
            <w:tcW w:w="1300" w:type="dxa"/>
            <w:tcBorders>
              <w:top w:val="nil"/>
              <w:left w:val="nil"/>
              <w:bottom w:val="nil"/>
              <w:right w:val="nil"/>
            </w:tcBorders>
            <w:shd w:val="clear" w:color="auto" w:fill="auto"/>
            <w:noWrap/>
            <w:vAlign w:val="center"/>
            <w:hideMark/>
          </w:tcPr>
          <w:p w14:paraId="30822B0F" w14:textId="77777777" w:rsidR="002178E7" w:rsidRPr="001857AD" w:rsidRDefault="002178E7" w:rsidP="002178E7">
            <w:pPr>
              <w:rPr>
                <w:color w:val="000000"/>
              </w:rPr>
            </w:pPr>
            <w:r w:rsidRPr="002178E7">
              <w:rPr>
                <w:color w:val="000000"/>
              </w:rPr>
              <w:t>rforest</w:t>
            </w:r>
          </w:p>
        </w:tc>
        <w:tc>
          <w:tcPr>
            <w:tcW w:w="2000" w:type="dxa"/>
            <w:tcBorders>
              <w:top w:val="nil"/>
              <w:left w:val="nil"/>
              <w:bottom w:val="nil"/>
              <w:right w:val="nil"/>
            </w:tcBorders>
            <w:shd w:val="clear" w:color="auto" w:fill="auto"/>
            <w:noWrap/>
            <w:vAlign w:val="bottom"/>
            <w:hideMark/>
          </w:tcPr>
          <w:p w14:paraId="0CBA99F2" w14:textId="77777777" w:rsidR="002178E7" w:rsidRPr="0095594C" w:rsidRDefault="002178E7" w:rsidP="002178E7">
            <w:pPr>
              <w:rPr>
                <w:color w:val="000000"/>
              </w:rPr>
            </w:pPr>
            <w:r w:rsidRPr="0095594C">
              <w:rPr>
                <w:color w:val="000000"/>
              </w:rPr>
              <w:t>1.7.2</w:t>
            </w:r>
          </w:p>
        </w:tc>
        <w:tc>
          <w:tcPr>
            <w:tcW w:w="1680" w:type="dxa"/>
            <w:tcBorders>
              <w:top w:val="nil"/>
              <w:left w:val="nil"/>
              <w:bottom w:val="nil"/>
              <w:right w:val="nil"/>
            </w:tcBorders>
            <w:shd w:val="clear" w:color="auto" w:fill="auto"/>
            <w:noWrap/>
            <w:vAlign w:val="bottom"/>
            <w:hideMark/>
          </w:tcPr>
          <w:p w14:paraId="6DB094EE" w14:textId="77777777" w:rsidR="002178E7" w:rsidRPr="0095594C" w:rsidRDefault="002178E7" w:rsidP="002178E7">
            <w:pPr>
              <w:rPr>
                <w:color w:val="000000"/>
              </w:rPr>
            </w:pPr>
            <w:r w:rsidRPr="0095594C">
              <w:rPr>
                <w:color w:val="000000"/>
              </w:rPr>
              <w:t>Mar-20</w:t>
            </w:r>
          </w:p>
        </w:tc>
      </w:tr>
      <w:tr w:rsidR="002178E7" w:rsidRPr="002178E7" w14:paraId="1E6928EB" w14:textId="77777777" w:rsidTr="002178E7">
        <w:trPr>
          <w:trHeight w:val="320"/>
        </w:trPr>
        <w:tc>
          <w:tcPr>
            <w:tcW w:w="1300" w:type="dxa"/>
            <w:tcBorders>
              <w:top w:val="nil"/>
              <w:left w:val="nil"/>
              <w:bottom w:val="nil"/>
              <w:right w:val="nil"/>
            </w:tcBorders>
            <w:shd w:val="clear" w:color="auto" w:fill="auto"/>
            <w:noWrap/>
            <w:vAlign w:val="center"/>
            <w:hideMark/>
          </w:tcPr>
          <w:p w14:paraId="1B0FC2ED" w14:textId="77777777" w:rsidR="002178E7" w:rsidRPr="001857AD" w:rsidRDefault="002178E7" w:rsidP="002178E7">
            <w:pPr>
              <w:rPr>
                <w:color w:val="000000"/>
              </w:rPr>
            </w:pPr>
            <w:r w:rsidRPr="002178E7">
              <w:rPr>
                <w:color w:val="000000"/>
              </w:rPr>
              <w:t>unique</w:t>
            </w:r>
          </w:p>
        </w:tc>
        <w:tc>
          <w:tcPr>
            <w:tcW w:w="2000" w:type="dxa"/>
            <w:tcBorders>
              <w:top w:val="nil"/>
              <w:left w:val="nil"/>
              <w:bottom w:val="nil"/>
              <w:right w:val="nil"/>
            </w:tcBorders>
            <w:shd w:val="clear" w:color="auto" w:fill="auto"/>
            <w:noWrap/>
            <w:vAlign w:val="bottom"/>
            <w:hideMark/>
          </w:tcPr>
          <w:p w14:paraId="46B5D0AB" w14:textId="77777777" w:rsidR="002178E7" w:rsidRPr="0095594C" w:rsidRDefault="002178E7" w:rsidP="002178E7">
            <w:pPr>
              <w:rPr>
                <w:color w:val="000000"/>
              </w:rPr>
            </w:pPr>
            <w:r w:rsidRPr="0095594C">
              <w:rPr>
                <w:color w:val="000000"/>
              </w:rPr>
              <w:t xml:space="preserve">1.2.2   </w:t>
            </w:r>
          </w:p>
        </w:tc>
        <w:tc>
          <w:tcPr>
            <w:tcW w:w="1680" w:type="dxa"/>
            <w:tcBorders>
              <w:top w:val="nil"/>
              <w:left w:val="nil"/>
              <w:bottom w:val="nil"/>
              <w:right w:val="nil"/>
            </w:tcBorders>
            <w:shd w:val="clear" w:color="auto" w:fill="auto"/>
            <w:noWrap/>
            <w:vAlign w:val="bottom"/>
            <w:hideMark/>
          </w:tcPr>
          <w:p w14:paraId="48131067" w14:textId="77777777" w:rsidR="002178E7" w:rsidRPr="0095594C" w:rsidRDefault="002178E7" w:rsidP="002178E7">
            <w:pPr>
              <w:rPr>
                <w:color w:val="000000"/>
              </w:rPr>
            </w:pPr>
            <w:r w:rsidRPr="0095594C">
              <w:rPr>
                <w:color w:val="000000"/>
              </w:rPr>
              <w:t>10-Nov-17</w:t>
            </w:r>
          </w:p>
        </w:tc>
      </w:tr>
    </w:tbl>
    <w:p w14:paraId="3B9218BF" w14:textId="6ECC2922" w:rsidR="008B37E4" w:rsidRDefault="008B37E4" w:rsidP="00342E6E">
      <w:pPr>
        <w:autoSpaceDE w:val="0"/>
        <w:autoSpaceDN w:val="0"/>
        <w:adjustRightInd w:val="0"/>
      </w:pPr>
    </w:p>
    <w:p w14:paraId="4C2F9B95" w14:textId="77777777" w:rsidR="00F41724" w:rsidRPr="00342E6E" w:rsidRDefault="00F41724" w:rsidP="00342E6E">
      <w:pPr>
        <w:autoSpaceDE w:val="0"/>
        <w:autoSpaceDN w:val="0"/>
        <w:adjustRightInd w:val="0"/>
      </w:pPr>
    </w:p>
    <w:p w14:paraId="651B9F60" w14:textId="29752887" w:rsidR="00342E6E" w:rsidRDefault="00342E6E" w:rsidP="00896A22">
      <w:pPr>
        <w:jc w:val="both"/>
      </w:pPr>
      <w:r w:rsidRPr="00342E6E">
        <w:t xml:space="preserve">The R script </w:t>
      </w:r>
      <w:r w:rsidR="002E7D67" w:rsidRPr="00F408C2">
        <w:rPr>
          <w:rFonts w:ascii="Consolas" w:eastAsiaTheme="minorHAnsi" w:hAnsi="Consolas" w:cstheme="minorBidi"/>
          <w:sz w:val="22"/>
          <w:szCs w:val="22"/>
        </w:rPr>
        <w:t>code/analysis/Plot_ETI_variation.R</w:t>
      </w:r>
      <w:r w:rsidR="002E7D67" w:rsidRPr="002E7D67">
        <w:t xml:space="preserve"> </w:t>
      </w:r>
      <w:r w:rsidRPr="00342E6E">
        <w:t>was run in</w:t>
      </w:r>
      <w:r w:rsidR="0027146C">
        <w:t xml:space="preserve"> RStudio </w:t>
      </w:r>
      <w:r w:rsidR="0035121F" w:rsidRPr="00342E6E">
        <w:t>Version 1.2.1335</w:t>
      </w:r>
      <w:r w:rsidR="0035121F">
        <w:t xml:space="preserve"> running</w:t>
      </w:r>
      <w:r w:rsidRPr="00342E6E">
        <w:t xml:space="preserve"> </w:t>
      </w:r>
      <w:r w:rsidR="005071A6" w:rsidRPr="005071A6">
        <w:t>R version 3.6.0 (2019-04-26)</w:t>
      </w:r>
      <w:r w:rsidRPr="00342E6E">
        <w:t xml:space="preserve">. </w:t>
      </w:r>
      <w:r w:rsidR="00F11785">
        <w:t xml:space="preserve">The following libraries were </w:t>
      </w:r>
      <w:r w:rsidR="007E4105">
        <w:t>installed</w:t>
      </w:r>
      <w:r w:rsidR="00F11785">
        <w:t>:</w:t>
      </w:r>
    </w:p>
    <w:p w14:paraId="131E1845" w14:textId="0495BE0D" w:rsidR="00F11785" w:rsidRDefault="00F11785" w:rsidP="00896A22">
      <w:pPr>
        <w:jc w:val="both"/>
      </w:pPr>
    </w:p>
    <w:tbl>
      <w:tblPr>
        <w:tblW w:w="2600" w:type="dxa"/>
        <w:tblLook w:val="04A0" w:firstRow="1" w:lastRow="0" w:firstColumn="1" w:lastColumn="0" w:noHBand="0" w:noVBand="1"/>
      </w:tblPr>
      <w:tblGrid>
        <w:gridCol w:w="1300"/>
        <w:gridCol w:w="1300"/>
      </w:tblGrid>
      <w:tr w:rsidR="007E4105" w:rsidRPr="007E4105" w14:paraId="1E2294FC" w14:textId="77777777" w:rsidTr="007E4105">
        <w:trPr>
          <w:trHeight w:val="320"/>
        </w:trPr>
        <w:tc>
          <w:tcPr>
            <w:tcW w:w="1300" w:type="dxa"/>
            <w:tcBorders>
              <w:top w:val="nil"/>
              <w:left w:val="nil"/>
              <w:bottom w:val="nil"/>
              <w:right w:val="nil"/>
            </w:tcBorders>
            <w:shd w:val="clear" w:color="auto" w:fill="auto"/>
            <w:noWrap/>
            <w:vAlign w:val="bottom"/>
            <w:hideMark/>
          </w:tcPr>
          <w:p w14:paraId="1AA57D13" w14:textId="2791738C" w:rsidR="007E4105" w:rsidRPr="007E4105" w:rsidRDefault="007E4105" w:rsidP="007E4105">
            <w:pPr>
              <w:rPr>
                <w:b/>
                <w:bCs/>
                <w:color w:val="000000"/>
              </w:rPr>
            </w:pPr>
            <w:r>
              <w:rPr>
                <w:b/>
                <w:bCs/>
                <w:color w:val="000000"/>
              </w:rPr>
              <w:t>Library</w:t>
            </w:r>
          </w:p>
        </w:tc>
        <w:tc>
          <w:tcPr>
            <w:tcW w:w="1300" w:type="dxa"/>
            <w:tcBorders>
              <w:top w:val="nil"/>
              <w:left w:val="nil"/>
              <w:bottom w:val="nil"/>
              <w:right w:val="nil"/>
            </w:tcBorders>
            <w:shd w:val="clear" w:color="auto" w:fill="auto"/>
            <w:noWrap/>
            <w:vAlign w:val="bottom"/>
            <w:hideMark/>
          </w:tcPr>
          <w:p w14:paraId="59BC0BEE" w14:textId="77777777" w:rsidR="007E4105" w:rsidRPr="007E4105" w:rsidRDefault="007E4105" w:rsidP="007E4105">
            <w:pPr>
              <w:rPr>
                <w:b/>
                <w:bCs/>
                <w:color w:val="000000"/>
              </w:rPr>
            </w:pPr>
            <w:r w:rsidRPr="007E4105">
              <w:rPr>
                <w:b/>
                <w:bCs/>
                <w:color w:val="000000"/>
              </w:rPr>
              <w:t>Version</w:t>
            </w:r>
          </w:p>
        </w:tc>
      </w:tr>
      <w:tr w:rsidR="007E4105" w:rsidRPr="007E4105" w14:paraId="423EE3F5" w14:textId="77777777" w:rsidTr="007E4105">
        <w:trPr>
          <w:trHeight w:val="320"/>
        </w:trPr>
        <w:tc>
          <w:tcPr>
            <w:tcW w:w="1300" w:type="dxa"/>
            <w:tcBorders>
              <w:top w:val="nil"/>
              <w:left w:val="nil"/>
              <w:bottom w:val="nil"/>
              <w:right w:val="nil"/>
            </w:tcBorders>
            <w:shd w:val="clear" w:color="auto" w:fill="auto"/>
            <w:noWrap/>
            <w:vAlign w:val="bottom"/>
            <w:hideMark/>
          </w:tcPr>
          <w:p w14:paraId="2FBA5420" w14:textId="77777777" w:rsidR="007E4105" w:rsidRPr="007E4105" w:rsidRDefault="007E4105" w:rsidP="007E4105">
            <w:pPr>
              <w:rPr>
                <w:color w:val="000000"/>
              </w:rPr>
            </w:pPr>
            <w:r w:rsidRPr="007E4105">
              <w:rPr>
                <w:color w:val="000000"/>
              </w:rPr>
              <w:t>Plotly</w:t>
            </w:r>
          </w:p>
        </w:tc>
        <w:tc>
          <w:tcPr>
            <w:tcW w:w="1300" w:type="dxa"/>
            <w:tcBorders>
              <w:top w:val="nil"/>
              <w:left w:val="nil"/>
              <w:bottom w:val="nil"/>
              <w:right w:val="nil"/>
            </w:tcBorders>
            <w:shd w:val="clear" w:color="auto" w:fill="auto"/>
            <w:noWrap/>
            <w:vAlign w:val="bottom"/>
            <w:hideMark/>
          </w:tcPr>
          <w:p w14:paraId="1A3A1B88" w14:textId="77777777" w:rsidR="007E4105" w:rsidRPr="007E4105" w:rsidRDefault="007E4105" w:rsidP="007E4105">
            <w:pPr>
              <w:rPr>
                <w:color w:val="000000"/>
              </w:rPr>
            </w:pPr>
            <w:r w:rsidRPr="007E4105">
              <w:rPr>
                <w:color w:val="000000"/>
              </w:rPr>
              <w:t>4.9.4.1</w:t>
            </w:r>
          </w:p>
        </w:tc>
      </w:tr>
      <w:tr w:rsidR="007E4105" w:rsidRPr="007E4105" w14:paraId="32028F38" w14:textId="77777777" w:rsidTr="007E4105">
        <w:trPr>
          <w:trHeight w:val="320"/>
        </w:trPr>
        <w:tc>
          <w:tcPr>
            <w:tcW w:w="1300" w:type="dxa"/>
            <w:tcBorders>
              <w:top w:val="nil"/>
              <w:left w:val="nil"/>
              <w:bottom w:val="nil"/>
              <w:right w:val="nil"/>
            </w:tcBorders>
            <w:shd w:val="clear" w:color="auto" w:fill="auto"/>
            <w:noWrap/>
            <w:vAlign w:val="bottom"/>
            <w:hideMark/>
          </w:tcPr>
          <w:p w14:paraId="01BC06A6" w14:textId="77777777" w:rsidR="007E4105" w:rsidRPr="007E4105" w:rsidRDefault="007E4105" w:rsidP="007E4105">
            <w:pPr>
              <w:rPr>
                <w:color w:val="000000"/>
              </w:rPr>
            </w:pPr>
            <w:r w:rsidRPr="007E4105">
              <w:rPr>
                <w:color w:val="000000"/>
              </w:rPr>
              <w:t>Hmisc</w:t>
            </w:r>
          </w:p>
        </w:tc>
        <w:tc>
          <w:tcPr>
            <w:tcW w:w="1300" w:type="dxa"/>
            <w:tcBorders>
              <w:top w:val="nil"/>
              <w:left w:val="nil"/>
              <w:bottom w:val="nil"/>
              <w:right w:val="nil"/>
            </w:tcBorders>
            <w:shd w:val="clear" w:color="auto" w:fill="auto"/>
            <w:noWrap/>
            <w:vAlign w:val="bottom"/>
            <w:hideMark/>
          </w:tcPr>
          <w:p w14:paraId="2557BD36" w14:textId="77777777" w:rsidR="007E4105" w:rsidRPr="007E4105" w:rsidRDefault="007E4105" w:rsidP="007E4105">
            <w:pPr>
              <w:rPr>
                <w:color w:val="000000"/>
              </w:rPr>
            </w:pPr>
            <w:r w:rsidRPr="007E4105">
              <w:rPr>
                <w:color w:val="000000"/>
              </w:rPr>
              <w:t>4.2.0</w:t>
            </w:r>
          </w:p>
        </w:tc>
      </w:tr>
    </w:tbl>
    <w:p w14:paraId="08C489C4" w14:textId="4BF56B97" w:rsidR="00E05701" w:rsidRPr="00573574" w:rsidRDefault="00E05701" w:rsidP="00DB20D7">
      <w:pPr>
        <w:jc w:val="both"/>
      </w:pPr>
      <w:bookmarkStart w:id="2" w:name="memory-and-runtime-requirements"/>
    </w:p>
    <w:p w14:paraId="317C0E3E" w14:textId="77777777" w:rsidR="00736556" w:rsidRDefault="00736556" w:rsidP="00DB20D7">
      <w:pPr>
        <w:pStyle w:val="Heading3"/>
        <w:jc w:val="both"/>
        <w:rPr>
          <w:rFonts w:ascii="Times New Roman" w:hAnsi="Times New Roman" w:cs="Times New Roman"/>
          <w:color w:val="000000" w:themeColor="text1"/>
        </w:rPr>
      </w:pPr>
      <w:r>
        <w:rPr>
          <w:rFonts w:ascii="Times New Roman" w:hAnsi="Times New Roman" w:cs="Times New Roman"/>
          <w:color w:val="000000" w:themeColor="text1"/>
        </w:rPr>
        <w:lastRenderedPageBreak/>
        <w:t>Controlled Randomness</w:t>
      </w:r>
    </w:p>
    <w:p w14:paraId="2BE69A3D" w14:textId="0CAF3D8D" w:rsidR="00736556" w:rsidRPr="00896A22" w:rsidRDefault="00736556" w:rsidP="00DB20D7">
      <w:pPr>
        <w:pStyle w:val="Heading3"/>
        <w:jc w:val="both"/>
        <w:rPr>
          <w:rFonts w:ascii="Times New Roman" w:hAnsi="Times New Roman" w:cs="Times New Roman"/>
          <w:b w:val="0"/>
          <w:bCs w:val="0"/>
          <w:color w:val="000000" w:themeColor="text1"/>
        </w:rPr>
      </w:pPr>
      <w:r w:rsidRPr="00896A22">
        <w:rPr>
          <w:rFonts w:ascii="Times New Roman" w:hAnsi="Times New Roman" w:cs="Times New Roman"/>
          <w:b w:val="0"/>
          <w:bCs w:val="0"/>
          <w:color w:val="000000" w:themeColor="text1"/>
        </w:rPr>
        <w:t>Some</w:t>
      </w:r>
      <w:r w:rsidR="00AD1952">
        <w:rPr>
          <w:rFonts w:ascii="Times New Roman" w:hAnsi="Times New Roman" w:cs="Times New Roman"/>
          <w:b w:val="0"/>
          <w:bCs w:val="0"/>
          <w:color w:val="000000" w:themeColor="text1"/>
        </w:rPr>
        <w:t xml:space="preserve"> Stata</w:t>
      </w:r>
      <w:r w:rsidRPr="00896A22">
        <w:rPr>
          <w:rFonts w:ascii="Times New Roman" w:hAnsi="Times New Roman" w:cs="Times New Roman"/>
          <w:b w:val="0"/>
          <w:bCs w:val="0"/>
          <w:color w:val="000000" w:themeColor="text1"/>
        </w:rPr>
        <w:t xml:space="preserve"> .do files use commands that call on random numbers for sorting data. To keep the .do files reproduceable while also being able to run each code modularly, the seed has been set to 98765 at the top of each .do file. The file </w:t>
      </w:r>
      <w:r w:rsidRPr="00896A22">
        <w:rPr>
          <w:rFonts w:ascii="Consolas" w:eastAsiaTheme="minorHAnsi" w:hAnsi="Consolas" w:cs="Times New Roman"/>
          <w:b w:val="0"/>
          <w:bCs w:val="0"/>
          <w:color w:val="auto"/>
          <w:sz w:val="22"/>
          <w:szCs w:val="22"/>
        </w:rPr>
        <w:t>0_master.do</w:t>
      </w:r>
      <w:r w:rsidRPr="00896A22">
        <w:rPr>
          <w:rFonts w:ascii="Times New Roman" w:hAnsi="Times New Roman" w:cs="Times New Roman"/>
          <w:b w:val="0"/>
          <w:bCs w:val="0"/>
          <w:color w:val="000000" w:themeColor="text1"/>
        </w:rPr>
        <w:t xml:space="preserve"> calls each .do in the proper order. To make sure results replicate exactly, we advise running all code in the order they are called in </w:t>
      </w:r>
      <w:r w:rsidRPr="00896A22">
        <w:rPr>
          <w:rFonts w:ascii="Consolas" w:eastAsiaTheme="minorHAnsi" w:hAnsi="Consolas" w:cs="Times New Roman"/>
          <w:b w:val="0"/>
          <w:bCs w:val="0"/>
          <w:color w:val="auto"/>
          <w:sz w:val="22"/>
          <w:szCs w:val="22"/>
        </w:rPr>
        <w:t>0_master.do</w:t>
      </w:r>
      <w:r w:rsidRPr="00896A22">
        <w:rPr>
          <w:rFonts w:ascii="Times New Roman" w:hAnsi="Times New Roman" w:cs="Times New Roman"/>
          <w:b w:val="0"/>
          <w:bCs w:val="0"/>
          <w:color w:val="000000" w:themeColor="text1"/>
        </w:rPr>
        <w:t>.</w:t>
      </w:r>
    </w:p>
    <w:p w14:paraId="76E5C817" w14:textId="02B66FAB" w:rsidR="00465D0E" w:rsidRPr="00573574" w:rsidRDefault="00D27785" w:rsidP="00DB20D7">
      <w:pPr>
        <w:pStyle w:val="Heading3"/>
        <w:jc w:val="both"/>
        <w:rPr>
          <w:rFonts w:ascii="Times New Roman" w:hAnsi="Times New Roman" w:cs="Times New Roman"/>
          <w:color w:val="000000" w:themeColor="text1"/>
        </w:rPr>
      </w:pPr>
      <w:r w:rsidRPr="00573574">
        <w:rPr>
          <w:rFonts w:ascii="Times New Roman" w:hAnsi="Times New Roman" w:cs="Times New Roman"/>
          <w:color w:val="000000" w:themeColor="text1"/>
        </w:rPr>
        <w:t xml:space="preserve">Memory </w:t>
      </w:r>
      <w:r w:rsidR="00F1449E" w:rsidRPr="00573574">
        <w:rPr>
          <w:rFonts w:ascii="Times New Roman" w:hAnsi="Times New Roman" w:cs="Times New Roman"/>
          <w:color w:val="000000" w:themeColor="text1"/>
        </w:rPr>
        <w:t>and Runtime Requirements</w:t>
      </w:r>
      <w:bookmarkEnd w:id="2"/>
    </w:p>
    <w:p w14:paraId="683A1AC8" w14:textId="2D1384BF" w:rsidR="00465D0E" w:rsidRPr="00573574" w:rsidRDefault="00F1449E" w:rsidP="00DB20D7">
      <w:pPr>
        <w:pStyle w:val="FirstParagraph"/>
        <w:jc w:val="both"/>
        <w:rPr>
          <w:rFonts w:ascii="Times New Roman" w:hAnsi="Times New Roman" w:cs="Times New Roman"/>
        </w:rPr>
      </w:pPr>
      <w:r w:rsidRPr="00573574">
        <w:rPr>
          <w:rFonts w:ascii="Times New Roman" w:hAnsi="Times New Roman" w:cs="Times New Roman"/>
        </w:rPr>
        <w:t>Approximate time needed to reproduce the analyses on a standard</w:t>
      </w:r>
      <w:r w:rsidR="00A8430B" w:rsidRPr="00573574">
        <w:rPr>
          <w:rFonts w:ascii="Times New Roman" w:hAnsi="Times New Roman" w:cs="Times New Roman"/>
        </w:rPr>
        <w:t xml:space="preserve"> </w:t>
      </w:r>
      <w:r w:rsidRPr="00573574">
        <w:rPr>
          <w:rFonts w:ascii="Times New Roman" w:hAnsi="Times New Roman" w:cs="Times New Roman"/>
        </w:rPr>
        <w:t>desktop machine:</w:t>
      </w:r>
      <w:r w:rsidR="00A8430B" w:rsidRPr="00573574">
        <w:rPr>
          <w:rFonts w:ascii="Times New Roman" w:hAnsi="Times New Roman" w:cs="Times New Roman"/>
        </w:rPr>
        <w:t xml:space="preserve"> </w:t>
      </w:r>
      <w:r w:rsidR="009B28B0">
        <w:rPr>
          <w:rFonts w:ascii="Times New Roman" w:hAnsi="Times New Roman" w:cs="Times New Roman"/>
        </w:rPr>
        <w:t xml:space="preserve">between 8 </w:t>
      </w:r>
      <w:r w:rsidR="008F5AEC">
        <w:rPr>
          <w:rFonts w:ascii="Times New Roman" w:hAnsi="Times New Roman" w:cs="Times New Roman"/>
        </w:rPr>
        <w:t>to</w:t>
      </w:r>
      <w:r w:rsidR="009B28B0">
        <w:rPr>
          <w:rFonts w:ascii="Times New Roman" w:hAnsi="Times New Roman" w:cs="Times New Roman"/>
        </w:rPr>
        <w:t xml:space="preserve"> </w:t>
      </w:r>
      <w:r w:rsidR="0042040A">
        <w:rPr>
          <w:rFonts w:ascii="Times New Roman" w:hAnsi="Times New Roman" w:cs="Times New Roman"/>
        </w:rPr>
        <w:t>1</w:t>
      </w:r>
      <w:r w:rsidR="00586413">
        <w:rPr>
          <w:rFonts w:ascii="Times New Roman" w:hAnsi="Times New Roman" w:cs="Times New Roman"/>
        </w:rPr>
        <w:t>2</w:t>
      </w:r>
      <w:r w:rsidR="009B28B0">
        <w:rPr>
          <w:rFonts w:ascii="Times New Roman" w:hAnsi="Times New Roman" w:cs="Times New Roman"/>
        </w:rPr>
        <w:t xml:space="preserve"> hours</w:t>
      </w:r>
      <w:r w:rsidR="00A1009C">
        <w:rPr>
          <w:rFonts w:ascii="Times New Roman" w:hAnsi="Times New Roman" w:cs="Times New Roman"/>
        </w:rPr>
        <w:t xml:space="preserve"> depending on RAM.</w:t>
      </w:r>
      <w:r w:rsidR="00373FF3">
        <w:rPr>
          <w:rFonts w:ascii="Times New Roman" w:hAnsi="Times New Roman" w:cs="Times New Roman"/>
        </w:rPr>
        <w:t xml:space="preserve"> Approximately 65GB of storage is required.</w:t>
      </w:r>
    </w:p>
    <w:p w14:paraId="18225163" w14:textId="77777777" w:rsidR="00465D0E" w:rsidRPr="00573574" w:rsidRDefault="00F1449E" w:rsidP="00DB20D7">
      <w:pPr>
        <w:pStyle w:val="Heading4"/>
        <w:jc w:val="both"/>
        <w:rPr>
          <w:rFonts w:ascii="Times New Roman" w:hAnsi="Times New Roman" w:cs="Times New Roman"/>
          <w:color w:val="000000" w:themeColor="text1"/>
        </w:rPr>
      </w:pPr>
      <w:bookmarkStart w:id="3" w:name="details"/>
      <w:r w:rsidRPr="00573574">
        <w:rPr>
          <w:rFonts w:ascii="Times New Roman" w:hAnsi="Times New Roman" w:cs="Times New Roman"/>
          <w:color w:val="000000" w:themeColor="text1"/>
        </w:rPr>
        <w:t>Details</w:t>
      </w:r>
      <w:bookmarkEnd w:id="3"/>
    </w:p>
    <w:p w14:paraId="7798F790" w14:textId="78324539" w:rsidR="00465D0E" w:rsidRDefault="009B28B0" w:rsidP="00DB20D7">
      <w:pPr>
        <w:pStyle w:val="FirstParagraph"/>
        <w:jc w:val="both"/>
        <w:rPr>
          <w:rFonts w:ascii="Times New Roman" w:hAnsi="Times New Roman" w:cs="Times New Roman"/>
        </w:rPr>
      </w:pPr>
      <w:r>
        <w:rPr>
          <w:rFonts w:ascii="Times New Roman" w:hAnsi="Times New Roman" w:cs="Times New Roman"/>
        </w:rPr>
        <w:t xml:space="preserve">The </w:t>
      </w:r>
      <w:r w:rsidRPr="00896A22">
        <w:rPr>
          <w:rFonts w:ascii="Consolas" w:hAnsi="Consolas" w:cs="Times New Roman"/>
          <w:sz w:val="22"/>
          <w:szCs w:val="22"/>
        </w:rPr>
        <w:t xml:space="preserve">0_master.do </w:t>
      </w:r>
      <w:r>
        <w:rPr>
          <w:rFonts w:ascii="Times New Roman" w:hAnsi="Times New Roman" w:cs="Times New Roman"/>
        </w:rPr>
        <w:t xml:space="preserve">Stata file was last </w:t>
      </w:r>
      <w:r w:rsidRPr="009B28B0">
        <w:rPr>
          <w:rFonts w:ascii="Times New Roman" w:hAnsi="Times New Roman" w:cs="Times New Roman"/>
        </w:rPr>
        <w:t xml:space="preserve">run on </w:t>
      </w:r>
      <w:r>
        <w:rPr>
          <w:rFonts w:ascii="Times New Roman" w:hAnsi="Times New Roman" w:cs="Times New Roman"/>
        </w:rPr>
        <w:t xml:space="preserve">a </w:t>
      </w:r>
      <w:r w:rsidRPr="009B28B0">
        <w:rPr>
          <w:rFonts w:ascii="Times New Roman" w:hAnsi="Times New Roman" w:cs="Times New Roman"/>
        </w:rPr>
        <w:t>PowerEdge R930</w:t>
      </w:r>
      <w:r>
        <w:rPr>
          <w:rFonts w:ascii="Times New Roman" w:hAnsi="Times New Roman" w:cs="Times New Roman"/>
        </w:rPr>
        <w:t xml:space="preserve"> physical machine</w:t>
      </w:r>
      <w:r w:rsidRPr="009B28B0">
        <w:rPr>
          <w:rFonts w:ascii="Times New Roman" w:hAnsi="Times New Roman" w:cs="Times New Roman"/>
        </w:rPr>
        <w:t xml:space="preserve"> running RedHat 7.9 (Linux 3.10.0). The processor is Intel® Xeon® CPU E7-8880 v3 2.30GHz (x144). Memory: 1.48 TiB, Swap: 7.81 GiB.</w:t>
      </w:r>
      <w:r>
        <w:rPr>
          <w:rFonts w:ascii="Times New Roman" w:hAnsi="Times New Roman" w:cs="Times New Roman"/>
        </w:rPr>
        <w:t xml:space="preserve"> Total </w:t>
      </w:r>
      <w:r w:rsidR="00BE03E3">
        <w:rPr>
          <w:rFonts w:ascii="Times New Roman" w:hAnsi="Times New Roman" w:cs="Times New Roman"/>
        </w:rPr>
        <w:t xml:space="preserve">run </w:t>
      </w:r>
      <w:r>
        <w:rPr>
          <w:rFonts w:ascii="Times New Roman" w:hAnsi="Times New Roman" w:cs="Times New Roman"/>
        </w:rPr>
        <w:t>time was 8 hours and 27 minutes.</w:t>
      </w:r>
    </w:p>
    <w:p w14:paraId="26A3F651" w14:textId="3A3D8154" w:rsidR="00323A0C" w:rsidRPr="00323A0C" w:rsidRDefault="00323A0C" w:rsidP="00896A22">
      <w:pPr>
        <w:pStyle w:val="BodyText"/>
        <w:rPr>
          <w:rFonts w:ascii="Times New Roman" w:hAnsi="Times New Roman" w:cs="Times New Roman"/>
        </w:rPr>
      </w:pPr>
      <w:r w:rsidRPr="00896A22">
        <w:rPr>
          <w:rFonts w:ascii="Times New Roman" w:hAnsi="Times New Roman" w:cs="Times New Roman"/>
        </w:rPr>
        <w:t xml:space="preserve">The R script was </w:t>
      </w:r>
      <w:r w:rsidR="000650EE">
        <w:rPr>
          <w:rFonts w:ascii="Times New Roman" w:hAnsi="Times New Roman" w:cs="Times New Roman"/>
        </w:rPr>
        <w:t xml:space="preserve">last </w:t>
      </w:r>
      <w:r w:rsidRPr="00896A22">
        <w:rPr>
          <w:rFonts w:ascii="Times New Roman" w:hAnsi="Times New Roman" w:cs="Times New Roman"/>
        </w:rPr>
        <w:t xml:space="preserve">run </w:t>
      </w:r>
      <w:r w:rsidR="000650EE">
        <w:rPr>
          <w:rFonts w:ascii="Times New Roman" w:hAnsi="Times New Roman" w:cs="Times New Roman"/>
        </w:rPr>
        <w:t>o</w:t>
      </w:r>
      <w:r w:rsidRPr="00896A22">
        <w:rPr>
          <w:rFonts w:ascii="Times New Roman" w:hAnsi="Times New Roman" w:cs="Times New Roman"/>
        </w:rPr>
        <w:t xml:space="preserve">n </w:t>
      </w:r>
      <w:r w:rsidR="00DD4497">
        <w:rPr>
          <w:rFonts w:ascii="Times New Roman" w:hAnsi="Times New Roman" w:cs="Times New Roman"/>
        </w:rPr>
        <w:t>M</w:t>
      </w:r>
      <w:r w:rsidRPr="00896A22">
        <w:rPr>
          <w:rFonts w:ascii="Times New Roman" w:hAnsi="Times New Roman" w:cs="Times New Roman"/>
        </w:rPr>
        <w:t xml:space="preserve">acOS Catalina 10.15.7. This </w:t>
      </w:r>
      <w:r w:rsidR="00D52AB8">
        <w:rPr>
          <w:rFonts w:ascii="Times New Roman" w:hAnsi="Times New Roman" w:cs="Times New Roman"/>
        </w:rPr>
        <w:t>script</w:t>
      </w:r>
      <w:r w:rsidR="00D52AB8" w:rsidRPr="00896A22">
        <w:rPr>
          <w:rFonts w:ascii="Times New Roman" w:hAnsi="Times New Roman" w:cs="Times New Roman"/>
        </w:rPr>
        <w:t xml:space="preserve"> </w:t>
      </w:r>
      <w:r w:rsidRPr="00896A22">
        <w:rPr>
          <w:rFonts w:ascii="Times New Roman" w:hAnsi="Times New Roman" w:cs="Times New Roman"/>
        </w:rPr>
        <w:t xml:space="preserve">takes roughly 5 minutes to run. </w:t>
      </w:r>
      <w:r w:rsidR="001C0A81">
        <w:rPr>
          <w:rFonts w:ascii="Times New Roman" w:hAnsi="Times New Roman" w:cs="Times New Roman"/>
        </w:rPr>
        <w:t xml:space="preserve">Connection to plotly servers is not required. </w:t>
      </w:r>
      <w:r w:rsidR="00FB300C">
        <w:rPr>
          <w:rFonts w:ascii="Times New Roman" w:hAnsi="Times New Roman" w:cs="Times New Roman"/>
        </w:rPr>
        <w:t>The</w:t>
      </w:r>
      <w:r w:rsidRPr="00896A22">
        <w:rPr>
          <w:rFonts w:ascii="Times New Roman" w:hAnsi="Times New Roman" w:cs="Times New Roman"/>
        </w:rPr>
        <w:t xml:space="preserve"> graphs </w:t>
      </w:r>
      <w:r w:rsidR="00FB300C">
        <w:rPr>
          <w:rFonts w:ascii="Times New Roman" w:hAnsi="Times New Roman" w:cs="Times New Roman"/>
        </w:rPr>
        <w:t>should be</w:t>
      </w:r>
      <w:r w:rsidRPr="00896A22">
        <w:rPr>
          <w:rFonts w:ascii="Times New Roman" w:hAnsi="Times New Roman" w:cs="Times New Roman"/>
        </w:rPr>
        <w:t xml:space="preserve"> saved manually </w:t>
      </w:r>
      <w:r w:rsidR="008F0756">
        <w:rPr>
          <w:rFonts w:ascii="Times New Roman" w:hAnsi="Times New Roman" w:cs="Times New Roman"/>
        </w:rPr>
        <w:t>using</w:t>
      </w:r>
      <w:r w:rsidR="008F0756" w:rsidRPr="00896A22">
        <w:rPr>
          <w:rFonts w:ascii="Times New Roman" w:hAnsi="Times New Roman" w:cs="Times New Roman"/>
        </w:rPr>
        <w:t xml:space="preserve"> </w:t>
      </w:r>
      <w:r w:rsidRPr="00896A22">
        <w:rPr>
          <w:rFonts w:ascii="Times New Roman" w:hAnsi="Times New Roman" w:cs="Times New Roman"/>
        </w:rPr>
        <w:t>the Viewer.</w:t>
      </w:r>
    </w:p>
    <w:p w14:paraId="425E3CC8" w14:textId="77777777" w:rsidR="009D7075" w:rsidRPr="00ED20E7" w:rsidRDefault="009D7075" w:rsidP="009D7075">
      <w:pPr>
        <w:pStyle w:val="Heading2"/>
        <w:jc w:val="both"/>
        <w:rPr>
          <w:rFonts w:ascii="Times New Roman" w:hAnsi="Times New Roman" w:cs="Times New Roman"/>
          <w:color w:val="000000" w:themeColor="text1"/>
          <w:sz w:val="24"/>
          <w:szCs w:val="24"/>
        </w:rPr>
      </w:pPr>
      <w:bookmarkStart w:id="4" w:name="description-of-programscode"/>
      <w:r w:rsidRPr="006967F4">
        <w:rPr>
          <w:rFonts w:ascii="Times New Roman" w:hAnsi="Times New Roman" w:cs="Times New Roman"/>
          <w:color w:val="000000" w:themeColor="text1"/>
          <w:sz w:val="24"/>
          <w:szCs w:val="24"/>
        </w:rPr>
        <w:t>Replication Folder Structure</w:t>
      </w:r>
    </w:p>
    <w:p w14:paraId="344EAD08" w14:textId="77777777" w:rsidR="009D7075" w:rsidRPr="00C85BF5" w:rsidRDefault="009D7075" w:rsidP="00DB20D7">
      <w:pPr>
        <w:pStyle w:val="Heading2"/>
        <w:jc w:val="both"/>
        <w:rPr>
          <w:rFonts w:ascii="Times New Roman" w:hAnsi="Times New Roman" w:cs="Times New Roman"/>
          <w:b w:val="0"/>
          <w:color w:val="000000" w:themeColor="text1"/>
          <w:sz w:val="24"/>
          <w:szCs w:val="24"/>
        </w:rPr>
      </w:pPr>
      <w:r w:rsidRPr="00C85BF5">
        <w:rPr>
          <w:rFonts w:ascii="Times New Roman" w:hAnsi="Times New Roman" w:cs="Times New Roman"/>
          <w:b w:val="0"/>
          <w:color w:val="000000" w:themeColor="text1"/>
          <w:sz w:val="24"/>
          <w:szCs w:val="24"/>
        </w:rPr>
        <w:t>The replication folder is organized in the following subdirectories:</w:t>
      </w:r>
    </w:p>
    <w:p w14:paraId="4950E6B8" w14:textId="5845101F" w:rsidR="009D7075" w:rsidRPr="00AC222A" w:rsidRDefault="00AC222A" w:rsidP="00AC222A">
      <w:pPr>
        <w:pStyle w:val="BodyText"/>
        <w:numPr>
          <w:ilvl w:val="0"/>
          <w:numId w:val="23"/>
        </w:numPr>
        <w:jc w:val="both"/>
      </w:pPr>
      <w:r w:rsidRPr="00C85BF5">
        <w:rPr>
          <w:rFonts w:ascii="Times New Roman" w:hAnsi="Times New Roman" w:cs="Times New Roman"/>
          <w:color w:val="000000" w:themeColor="text1"/>
        </w:rPr>
        <w:t xml:space="preserve">The subdirectory </w:t>
      </w:r>
      <w:r w:rsidRPr="00C85BF5">
        <w:rPr>
          <w:rFonts w:ascii="Consolas" w:hAnsi="Consolas"/>
          <w:sz w:val="22"/>
          <w:szCs w:val="22"/>
        </w:rPr>
        <w:t>code/</w:t>
      </w:r>
      <w:r w:rsidRPr="00D451F0">
        <w:rPr>
          <w:rFonts w:ascii="Times New Roman" w:hAnsi="Times New Roman" w:cs="Times New Roman"/>
          <w:color w:val="000000" w:themeColor="text1"/>
        </w:rPr>
        <w:t xml:space="preserve"> includes all code necessary</w:t>
      </w:r>
      <w:r>
        <w:rPr>
          <w:rFonts w:ascii="Times New Roman" w:hAnsi="Times New Roman" w:cs="Times New Roman"/>
          <w:color w:val="000000" w:themeColor="text1"/>
        </w:rPr>
        <w:t xml:space="preserve"> to replicate the analysis.</w:t>
      </w:r>
      <w:r w:rsidR="00A353AC">
        <w:rPr>
          <w:rFonts w:ascii="Times New Roman" w:hAnsi="Times New Roman" w:cs="Times New Roman"/>
          <w:color w:val="000000" w:themeColor="text1"/>
        </w:rPr>
        <w:t xml:space="preserve"> Cleaning and preparation codes are saved in </w:t>
      </w:r>
      <w:r w:rsidR="00A353AC" w:rsidRPr="00280029">
        <w:rPr>
          <w:rFonts w:ascii="Consolas" w:hAnsi="Consolas"/>
          <w:sz w:val="22"/>
          <w:szCs w:val="22"/>
        </w:rPr>
        <w:t>code/prep/</w:t>
      </w:r>
      <w:r w:rsidR="00A353AC">
        <w:rPr>
          <w:rFonts w:ascii="Times New Roman" w:hAnsi="Times New Roman" w:cs="Times New Roman"/>
          <w:color w:val="000000" w:themeColor="text1"/>
        </w:rPr>
        <w:t xml:space="preserve">, whereas code that conduct analyses are saved in </w:t>
      </w:r>
      <w:r w:rsidR="00A353AC" w:rsidRPr="00280029">
        <w:rPr>
          <w:rFonts w:ascii="Consolas" w:hAnsi="Consolas"/>
          <w:sz w:val="22"/>
          <w:szCs w:val="22"/>
        </w:rPr>
        <w:t>code/analysis/</w:t>
      </w:r>
      <w:r w:rsidR="00A353AC" w:rsidRPr="00953362">
        <w:rPr>
          <w:rFonts w:ascii="Times New Roman" w:hAnsi="Times New Roman" w:cs="Times New Roman"/>
          <w:color w:val="000000" w:themeColor="text1"/>
        </w:rPr>
        <w:t>.</w:t>
      </w:r>
      <w:r w:rsidR="0062339B">
        <w:rPr>
          <w:rFonts w:ascii="Times New Roman" w:hAnsi="Times New Roman" w:cs="Times New Roman"/>
          <w:color w:val="000000" w:themeColor="text1"/>
        </w:rPr>
        <w:t xml:space="preserve"> See Section “Instruction to Replicators” below for instructions on how to run these files.</w:t>
      </w:r>
    </w:p>
    <w:p w14:paraId="4634A586" w14:textId="75DC49BD" w:rsidR="00D74FF3" w:rsidRPr="00AC222A" w:rsidRDefault="00D74FF3" w:rsidP="00D74FF3">
      <w:pPr>
        <w:pStyle w:val="BodyText"/>
        <w:numPr>
          <w:ilvl w:val="0"/>
          <w:numId w:val="23"/>
        </w:numPr>
        <w:jc w:val="both"/>
      </w:pPr>
      <w:r>
        <w:rPr>
          <w:rFonts w:ascii="Times New Roman" w:hAnsi="Times New Roman" w:cs="Times New Roman"/>
          <w:color w:val="000000" w:themeColor="text1"/>
        </w:rPr>
        <w:t xml:space="preserve">The subdirectory </w:t>
      </w:r>
      <w:r>
        <w:rPr>
          <w:rFonts w:ascii="Consolas" w:hAnsi="Consolas"/>
          <w:sz w:val="22"/>
          <w:szCs w:val="22"/>
        </w:rPr>
        <w:t>raw</w:t>
      </w:r>
      <w:r w:rsidRPr="00496680">
        <w:rPr>
          <w:rFonts w:ascii="Consolas" w:hAnsi="Consolas"/>
          <w:sz w:val="22"/>
          <w:szCs w:val="22"/>
        </w:rPr>
        <w:t>/</w:t>
      </w:r>
      <w:r>
        <w:rPr>
          <w:rFonts w:ascii="Times New Roman" w:hAnsi="Times New Roman" w:cs="Times New Roman"/>
          <w:color w:val="000000" w:themeColor="text1"/>
        </w:rPr>
        <w:t xml:space="preserve"> is</w:t>
      </w:r>
      <w:r w:rsidR="001310E5">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where some of the raw administrative datasets should be saved. See file </w:t>
      </w:r>
      <w:r>
        <w:rPr>
          <w:rFonts w:ascii="Consolas" w:hAnsi="Consolas" w:cs="Times New Roman"/>
          <w:sz w:val="22"/>
          <w:szCs w:val="22"/>
        </w:rPr>
        <w:t>0_1_Compiled_tables_and_materials_list.xlsx</w:t>
      </w:r>
      <w:r>
        <w:rPr>
          <w:rFonts w:ascii="Times New Roman" w:hAnsi="Times New Roman" w:cs="Times New Roman"/>
          <w:color w:val="000000" w:themeColor="text1"/>
        </w:rPr>
        <w:t>, sheet “</w:t>
      </w:r>
      <w:r w:rsidR="00BA2178">
        <w:rPr>
          <w:rFonts w:ascii="Times New Roman" w:hAnsi="Times New Roman" w:cs="Times New Roman"/>
          <w:color w:val="000000" w:themeColor="text1"/>
        </w:rPr>
        <w:t>List of Raw Datasets</w:t>
      </w:r>
      <w:r>
        <w:rPr>
          <w:rFonts w:ascii="Times New Roman" w:hAnsi="Times New Roman" w:cs="Times New Roman"/>
          <w:color w:val="000000" w:themeColor="text1"/>
        </w:rPr>
        <w:t>” for which datasets should be saved in this folder</w:t>
      </w:r>
      <w:r w:rsidR="00711327">
        <w:rPr>
          <w:rFonts w:ascii="Times New Roman" w:hAnsi="Times New Roman" w:cs="Times New Roman"/>
          <w:color w:val="000000" w:themeColor="text1"/>
        </w:rPr>
        <w:t xml:space="preserve"> and</w:t>
      </w:r>
      <w:r>
        <w:rPr>
          <w:rFonts w:ascii="Times New Roman" w:hAnsi="Times New Roman" w:cs="Times New Roman"/>
          <w:color w:val="000000" w:themeColor="text1"/>
        </w:rPr>
        <w:t xml:space="preserve"> in </w:t>
      </w:r>
      <w:r w:rsidR="00711327">
        <w:rPr>
          <w:rFonts w:ascii="Times New Roman" w:hAnsi="Times New Roman" w:cs="Times New Roman"/>
          <w:color w:val="000000" w:themeColor="text1"/>
        </w:rPr>
        <w:t xml:space="preserve">its </w:t>
      </w:r>
      <w:r>
        <w:rPr>
          <w:rFonts w:ascii="Times New Roman" w:hAnsi="Times New Roman" w:cs="Times New Roman"/>
          <w:color w:val="000000" w:themeColor="text1"/>
        </w:rPr>
        <w:t xml:space="preserve">subfolder </w:t>
      </w:r>
      <w:r w:rsidRPr="007464B6">
        <w:rPr>
          <w:rFonts w:ascii="Consolas" w:hAnsi="Consolas" w:cs="Times New Roman"/>
          <w:sz w:val="22"/>
          <w:szCs w:val="22"/>
        </w:rPr>
        <w:t>raw/auxiliary/</w:t>
      </w:r>
      <w:r w:rsidRPr="00E631DE">
        <w:rPr>
          <w:rFonts w:ascii="Times New Roman" w:hAnsi="Times New Roman" w:cs="Times New Roman"/>
          <w:color w:val="000000" w:themeColor="text1"/>
        </w:rPr>
        <w:t>.</w:t>
      </w:r>
      <w:r w:rsidR="00774C7C">
        <w:rPr>
          <w:rFonts w:ascii="Times New Roman" w:hAnsi="Times New Roman" w:cs="Times New Roman"/>
          <w:color w:val="000000" w:themeColor="text1"/>
        </w:rPr>
        <w:t xml:space="preserve"> </w:t>
      </w:r>
      <w:r w:rsidR="00454769">
        <w:rPr>
          <w:rFonts w:ascii="Times New Roman" w:hAnsi="Times New Roman" w:cs="Times New Roman"/>
          <w:color w:val="000000" w:themeColor="text1"/>
        </w:rPr>
        <w:t xml:space="preserve">With the exception of </w:t>
      </w:r>
      <w:r w:rsidR="00915509">
        <w:rPr>
          <w:rFonts w:ascii="Times New Roman" w:hAnsi="Times New Roman" w:cs="Times New Roman"/>
          <w:color w:val="000000" w:themeColor="text1"/>
        </w:rPr>
        <w:t>file “</w:t>
      </w:r>
      <w:r w:rsidR="00915509" w:rsidRPr="007464B6">
        <w:rPr>
          <w:rFonts w:ascii="Consolas" w:hAnsi="Consolas" w:cs="Times New Roman"/>
          <w:sz w:val="22"/>
          <w:szCs w:val="22"/>
        </w:rPr>
        <w:t>raw/auxiliary/indonesia_gdp_deflator_FRED.csv</w:t>
      </w:r>
      <w:r w:rsidR="00915509" w:rsidRPr="00896A22">
        <w:rPr>
          <w:rFonts w:ascii="Times New Roman" w:hAnsi="Times New Roman" w:cs="Times New Roman"/>
          <w:color w:val="000000" w:themeColor="text1"/>
        </w:rPr>
        <w:t xml:space="preserve">”, </w:t>
      </w:r>
      <w:r w:rsidR="00262071">
        <w:rPr>
          <w:rFonts w:ascii="Times New Roman" w:hAnsi="Times New Roman" w:cs="Times New Roman"/>
          <w:color w:val="000000" w:themeColor="text1"/>
        </w:rPr>
        <w:t xml:space="preserve">which we provide to the public </w:t>
      </w:r>
      <w:r w:rsidR="00915509" w:rsidRPr="00896A22">
        <w:rPr>
          <w:rFonts w:ascii="Times New Roman" w:hAnsi="Times New Roman" w:cs="Times New Roman"/>
          <w:color w:val="000000" w:themeColor="text1"/>
        </w:rPr>
        <w:t xml:space="preserve">in this </w:t>
      </w:r>
      <w:r w:rsidR="00AE55D8">
        <w:rPr>
          <w:rFonts w:ascii="Times New Roman" w:hAnsi="Times New Roman" w:cs="Times New Roman"/>
          <w:color w:val="000000" w:themeColor="text1"/>
        </w:rPr>
        <w:t xml:space="preserve">replication </w:t>
      </w:r>
      <w:r w:rsidR="00915509" w:rsidRPr="00896A22">
        <w:rPr>
          <w:rFonts w:ascii="Times New Roman" w:hAnsi="Times New Roman" w:cs="Times New Roman"/>
          <w:color w:val="000000" w:themeColor="text1"/>
        </w:rPr>
        <w:t xml:space="preserve">kit, </w:t>
      </w:r>
      <w:r w:rsidR="00915509" w:rsidRPr="00F408C2">
        <w:rPr>
          <w:rFonts w:ascii="Times New Roman" w:hAnsi="Times New Roman" w:cs="Times New Roman"/>
          <w:b/>
          <w:bCs/>
          <w:color w:val="000000" w:themeColor="text1"/>
        </w:rPr>
        <w:t>these files cannot be made available to the public.</w:t>
      </w:r>
      <w:r w:rsidR="00185935">
        <w:rPr>
          <w:rFonts w:ascii="Times New Roman" w:hAnsi="Times New Roman" w:cs="Times New Roman"/>
          <w:color w:val="000000" w:themeColor="text1"/>
        </w:rPr>
        <w:t xml:space="preserve"> </w:t>
      </w:r>
    </w:p>
    <w:p w14:paraId="3501C093" w14:textId="622140AC" w:rsidR="00B06393" w:rsidRPr="00896A22" w:rsidRDefault="00AC222A" w:rsidP="00AC222A">
      <w:pPr>
        <w:pStyle w:val="BodyText"/>
        <w:numPr>
          <w:ilvl w:val="0"/>
          <w:numId w:val="23"/>
        </w:numPr>
        <w:jc w:val="both"/>
      </w:pPr>
      <w:r>
        <w:rPr>
          <w:rFonts w:ascii="Times New Roman" w:hAnsi="Times New Roman" w:cs="Times New Roman"/>
          <w:color w:val="000000" w:themeColor="text1"/>
        </w:rPr>
        <w:t xml:space="preserve">The subdirectory </w:t>
      </w:r>
      <w:r w:rsidRPr="00496680">
        <w:rPr>
          <w:rFonts w:ascii="Consolas" w:hAnsi="Consolas"/>
          <w:sz w:val="22"/>
          <w:szCs w:val="22"/>
        </w:rPr>
        <w:t>output/</w:t>
      </w:r>
      <w:r w:rsidR="00BA2EA5">
        <w:rPr>
          <w:rFonts w:ascii="Consolas" w:hAnsi="Consolas"/>
          <w:sz w:val="22"/>
          <w:szCs w:val="22"/>
        </w:rPr>
        <w:t>dta_raw</w:t>
      </w:r>
      <w:r w:rsidR="00643C04">
        <w:rPr>
          <w:rFonts w:ascii="Consolas" w:hAnsi="Consolas"/>
          <w:sz w:val="22"/>
          <w:szCs w:val="22"/>
        </w:rPr>
        <w:t>/</w:t>
      </w:r>
      <w:r w:rsidR="00227086">
        <w:rPr>
          <w:rFonts w:ascii="Times New Roman" w:hAnsi="Times New Roman" w:cs="Times New Roman"/>
          <w:color w:val="000000" w:themeColor="text1"/>
        </w:rPr>
        <w:t xml:space="preserve"> </w:t>
      </w:r>
      <w:r w:rsidR="00FC0516">
        <w:rPr>
          <w:rFonts w:ascii="Times New Roman" w:hAnsi="Times New Roman" w:cs="Times New Roman"/>
          <w:color w:val="000000" w:themeColor="text1"/>
        </w:rPr>
        <w:t xml:space="preserve">is </w:t>
      </w:r>
      <w:r w:rsidR="00AB20F4">
        <w:rPr>
          <w:rFonts w:ascii="Times New Roman" w:hAnsi="Times New Roman" w:cs="Times New Roman"/>
          <w:color w:val="000000" w:themeColor="text1"/>
        </w:rPr>
        <w:t xml:space="preserve">where </w:t>
      </w:r>
      <w:r w:rsidR="001A028B">
        <w:rPr>
          <w:rFonts w:ascii="Times New Roman" w:hAnsi="Times New Roman" w:cs="Times New Roman"/>
          <w:color w:val="000000" w:themeColor="text1"/>
        </w:rPr>
        <w:t>some raw datasets</w:t>
      </w:r>
      <w:r w:rsidR="00877F94">
        <w:rPr>
          <w:rFonts w:ascii="Times New Roman" w:hAnsi="Times New Roman" w:cs="Times New Roman"/>
          <w:color w:val="000000" w:themeColor="text1"/>
        </w:rPr>
        <w:t xml:space="preserve"> </w:t>
      </w:r>
      <w:r w:rsidR="00BA2EA5">
        <w:rPr>
          <w:rFonts w:ascii="Times New Roman" w:hAnsi="Times New Roman" w:cs="Times New Roman"/>
          <w:color w:val="000000" w:themeColor="text1"/>
        </w:rPr>
        <w:t>should be saved</w:t>
      </w:r>
      <w:r w:rsidR="00C4724F">
        <w:rPr>
          <w:rFonts w:ascii="Times New Roman" w:hAnsi="Times New Roman" w:cs="Times New Roman"/>
          <w:color w:val="000000" w:themeColor="text1"/>
        </w:rPr>
        <w:t xml:space="preserve">. </w:t>
      </w:r>
      <w:r w:rsidR="00DF3D18">
        <w:rPr>
          <w:rFonts w:ascii="Times New Roman" w:hAnsi="Times New Roman" w:cs="Times New Roman"/>
          <w:color w:val="000000" w:themeColor="text1"/>
        </w:rPr>
        <w:t xml:space="preserve">See file </w:t>
      </w:r>
      <w:r w:rsidR="00DF3D18">
        <w:rPr>
          <w:rFonts w:ascii="Consolas" w:hAnsi="Consolas" w:cs="Times New Roman"/>
          <w:sz w:val="22"/>
          <w:szCs w:val="22"/>
        </w:rPr>
        <w:t>0_1_Compiled_tables_and_materials_list.xlsx</w:t>
      </w:r>
      <w:r w:rsidR="00DF3D18">
        <w:rPr>
          <w:rFonts w:ascii="Times New Roman" w:hAnsi="Times New Roman" w:cs="Times New Roman"/>
          <w:color w:val="000000" w:themeColor="text1"/>
        </w:rPr>
        <w:t>, sheet “</w:t>
      </w:r>
      <w:r w:rsidR="00BA2178">
        <w:rPr>
          <w:rFonts w:ascii="Times New Roman" w:hAnsi="Times New Roman" w:cs="Times New Roman"/>
          <w:color w:val="000000" w:themeColor="text1"/>
        </w:rPr>
        <w:t>List of Raw Datasets</w:t>
      </w:r>
      <w:r w:rsidR="00DF3D18">
        <w:rPr>
          <w:rFonts w:ascii="Times New Roman" w:hAnsi="Times New Roman" w:cs="Times New Roman"/>
          <w:color w:val="000000" w:themeColor="text1"/>
        </w:rPr>
        <w:t xml:space="preserve">”, for which raw datasets should be saved in </w:t>
      </w:r>
      <w:r w:rsidR="00B06393">
        <w:rPr>
          <w:rFonts w:ascii="Times New Roman" w:hAnsi="Times New Roman" w:cs="Times New Roman"/>
          <w:color w:val="000000" w:themeColor="text1"/>
        </w:rPr>
        <w:t>this subdirectory</w:t>
      </w:r>
      <w:r w:rsidR="00445F27" w:rsidRPr="00445F27">
        <w:rPr>
          <w:rFonts w:ascii="Times New Roman" w:hAnsi="Times New Roman" w:cs="Times New Roman"/>
          <w:color w:val="000000" w:themeColor="text1"/>
        </w:rPr>
        <w:t>.</w:t>
      </w:r>
      <w:r w:rsidR="00445F27">
        <w:rPr>
          <w:rFonts w:ascii="Times New Roman" w:hAnsi="Times New Roman" w:cs="Times New Roman"/>
          <w:color w:val="000000" w:themeColor="text1"/>
        </w:rPr>
        <w:t xml:space="preserve"> </w:t>
      </w:r>
      <w:r w:rsidR="00774C7C" w:rsidRPr="00F408C2">
        <w:rPr>
          <w:rFonts w:ascii="Times New Roman" w:hAnsi="Times New Roman" w:cs="Times New Roman"/>
          <w:b/>
          <w:bCs/>
          <w:color w:val="000000" w:themeColor="text1"/>
        </w:rPr>
        <w:t>These files cannot be provided to be public.</w:t>
      </w:r>
    </w:p>
    <w:p w14:paraId="094D5719" w14:textId="54E758E8" w:rsidR="00E56CE8" w:rsidRPr="00896A22" w:rsidRDefault="00E56CE8" w:rsidP="00AC222A">
      <w:pPr>
        <w:pStyle w:val="BodyText"/>
        <w:numPr>
          <w:ilvl w:val="0"/>
          <w:numId w:val="23"/>
        </w:numPr>
        <w:jc w:val="both"/>
      </w:pPr>
      <w:r>
        <w:rPr>
          <w:rFonts w:ascii="Times New Roman" w:hAnsi="Times New Roman" w:cs="Times New Roman"/>
          <w:color w:val="000000" w:themeColor="text1"/>
        </w:rPr>
        <w:t xml:space="preserve">The subdirectory </w:t>
      </w:r>
      <w:r w:rsidRPr="00496680">
        <w:rPr>
          <w:rFonts w:ascii="Consolas" w:hAnsi="Consolas"/>
          <w:sz w:val="22"/>
          <w:szCs w:val="22"/>
        </w:rPr>
        <w:t>output/</w:t>
      </w:r>
      <w:r>
        <w:rPr>
          <w:rFonts w:ascii="Consolas" w:hAnsi="Consolas"/>
          <w:sz w:val="22"/>
          <w:szCs w:val="22"/>
        </w:rPr>
        <w:t>temp_data</w:t>
      </w:r>
      <w:r w:rsidR="00643C04">
        <w:rPr>
          <w:rFonts w:ascii="Consolas" w:hAnsi="Consolas"/>
          <w:sz w:val="22"/>
          <w:szCs w:val="22"/>
        </w:rPr>
        <w:t>/</w:t>
      </w:r>
      <w:r w:rsidRPr="00896A22">
        <w:rPr>
          <w:rFonts w:ascii="Times New Roman" w:hAnsi="Times New Roman" w:cs="Times New Roman"/>
          <w:color w:val="000000" w:themeColor="text1"/>
        </w:rPr>
        <w:t xml:space="preserve"> is </w:t>
      </w:r>
      <w:r w:rsidR="00596F6B">
        <w:rPr>
          <w:rFonts w:ascii="Times New Roman" w:hAnsi="Times New Roman" w:cs="Times New Roman"/>
          <w:color w:val="000000" w:themeColor="text1"/>
        </w:rPr>
        <w:t xml:space="preserve">an empty folder </w:t>
      </w:r>
      <w:r w:rsidRPr="00896A22">
        <w:rPr>
          <w:rFonts w:ascii="Times New Roman" w:hAnsi="Times New Roman" w:cs="Times New Roman"/>
          <w:color w:val="000000" w:themeColor="text1"/>
        </w:rPr>
        <w:t>where</w:t>
      </w:r>
      <w:r>
        <w:rPr>
          <w:rFonts w:ascii="Times New Roman" w:hAnsi="Times New Roman" w:cs="Times New Roman"/>
          <w:color w:val="000000" w:themeColor="text1"/>
        </w:rPr>
        <w:t xml:space="preserve"> temporary data </w:t>
      </w:r>
      <w:r w:rsidR="00043B16">
        <w:rPr>
          <w:rFonts w:ascii="Times New Roman" w:hAnsi="Times New Roman" w:cs="Times New Roman"/>
          <w:color w:val="000000" w:themeColor="text1"/>
        </w:rPr>
        <w:t>produced by the code are saved</w:t>
      </w:r>
      <w:r>
        <w:rPr>
          <w:rFonts w:ascii="Times New Roman" w:hAnsi="Times New Roman" w:cs="Times New Roman"/>
          <w:color w:val="000000" w:themeColor="text1"/>
        </w:rPr>
        <w:t xml:space="preserve">. </w:t>
      </w:r>
      <w:r w:rsidRPr="00F408C2">
        <w:rPr>
          <w:rFonts w:ascii="Times New Roman" w:hAnsi="Times New Roman" w:cs="Times New Roman"/>
          <w:b/>
          <w:bCs/>
          <w:color w:val="000000" w:themeColor="text1"/>
        </w:rPr>
        <w:t>These files cannot be provided to the public.</w:t>
      </w:r>
    </w:p>
    <w:p w14:paraId="391BF76D" w14:textId="77777777" w:rsidR="009319F4" w:rsidRPr="00896A22" w:rsidRDefault="009319F4" w:rsidP="009319F4">
      <w:pPr>
        <w:pStyle w:val="BodyText"/>
        <w:numPr>
          <w:ilvl w:val="0"/>
          <w:numId w:val="23"/>
        </w:numPr>
        <w:jc w:val="both"/>
      </w:pPr>
      <w:r>
        <w:rPr>
          <w:rFonts w:ascii="Times New Roman" w:hAnsi="Times New Roman" w:cs="Times New Roman"/>
          <w:color w:val="000000" w:themeColor="text1"/>
        </w:rPr>
        <w:t xml:space="preserve">The subdirectory </w:t>
      </w:r>
      <w:r w:rsidRPr="00F408C2">
        <w:rPr>
          <w:rFonts w:ascii="Consolas" w:hAnsi="Consolas"/>
          <w:sz w:val="22"/>
          <w:szCs w:val="22"/>
        </w:rPr>
        <w:t>output/analysis/</w:t>
      </w:r>
      <w:r>
        <w:rPr>
          <w:rFonts w:ascii="Times New Roman" w:hAnsi="Times New Roman" w:cs="Times New Roman"/>
          <w:color w:val="000000" w:themeColor="text1"/>
        </w:rPr>
        <w:t xml:space="preserve"> is where all intermediary and final analyses files produced by the code are saved. </w:t>
      </w:r>
      <w:r w:rsidRPr="00F408C2">
        <w:rPr>
          <w:rFonts w:ascii="Times New Roman" w:hAnsi="Times New Roman" w:cs="Times New Roman"/>
          <w:b/>
          <w:bCs/>
          <w:color w:val="000000" w:themeColor="text1"/>
        </w:rPr>
        <w:t>These files cannot be provided to the public.</w:t>
      </w:r>
    </w:p>
    <w:p w14:paraId="1AF9E911" w14:textId="3F8344FA" w:rsidR="001F073C" w:rsidRPr="007464B6" w:rsidRDefault="001F073C" w:rsidP="001F073C">
      <w:pPr>
        <w:pStyle w:val="BodyText"/>
        <w:numPr>
          <w:ilvl w:val="0"/>
          <w:numId w:val="23"/>
        </w:numPr>
        <w:jc w:val="both"/>
      </w:pPr>
      <w:r>
        <w:rPr>
          <w:rFonts w:ascii="Times New Roman" w:hAnsi="Times New Roman" w:cs="Times New Roman"/>
          <w:color w:val="000000" w:themeColor="text1"/>
        </w:rPr>
        <w:lastRenderedPageBreak/>
        <w:t xml:space="preserve">The subdirectory </w:t>
      </w:r>
      <w:r w:rsidRPr="00496680">
        <w:rPr>
          <w:rFonts w:ascii="Consolas" w:hAnsi="Consolas"/>
          <w:sz w:val="22"/>
          <w:szCs w:val="22"/>
        </w:rPr>
        <w:t>output/</w:t>
      </w:r>
      <w:r w:rsidR="009319F4">
        <w:rPr>
          <w:rFonts w:ascii="Consolas" w:hAnsi="Consolas"/>
          <w:sz w:val="22"/>
          <w:szCs w:val="22"/>
        </w:rPr>
        <w:t>analysis/</w:t>
      </w:r>
      <w:r>
        <w:rPr>
          <w:rFonts w:ascii="Consolas" w:hAnsi="Consolas"/>
          <w:sz w:val="22"/>
          <w:szCs w:val="22"/>
        </w:rPr>
        <w:t>regcoeffs</w:t>
      </w:r>
      <w:r w:rsidR="00643C04">
        <w:rPr>
          <w:rFonts w:ascii="Consolas" w:hAnsi="Consolas"/>
          <w:sz w:val="22"/>
          <w:szCs w:val="22"/>
        </w:rPr>
        <w:t>/</w:t>
      </w:r>
      <w:r w:rsidRPr="007464B6">
        <w:rPr>
          <w:rFonts w:ascii="Times New Roman" w:hAnsi="Times New Roman" w:cs="Times New Roman"/>
          <w:color w:val="000000" w:themeColor="text1"/>
        </w:rPr>
        <w:t xml:space="preserve"> is </w:t>
      </w:r>
      <w:r>
        <w:rPr>
          <w:rFonts w:ascii="Times New Roman" w:hAnsi="Times New Roman" w:cs="Times New Roman"/>
          <w:color w:val="000000" w:themeColor="text1"/>
        </w:rPr>
        <w:t xml:space="preserve">an empty folder </w:t>
      </w:r>
      <w:r w:rsidRPr="007464B6">
        <w:rPr>
          <w:rFonts w:ascii="Times New Roman" w:hAnsi="Times New Roman" w:cs="Times New Roman"/>
          <w:color w:val="000000" w:themeColor="text1"/>
        </w:rPr>
        <w:t>where</w:t>
      </w:r>
      <w:r>
        <w:rPr>
          <w:rFonts w:ascii="Times New Roman" w:hAnsi="Times New Roman" w:cs="Times New Roman"/>
          <w:color w:val="000000" w:themeColor="text1"/>
        </w:rPr>
        <w:t xml:space="preserve"> some intermediary data produced by the code are saved. </w:t>
      </w:r>
      <w:r w:rsidRPr="00F408C2">
        <w:rPr>
          <w:rFonts w:ascii="Times New Roman" w:hAnsi="Times New Roman" w:cs="Times New Roman"/>
          <w:b/>
          <w:bCs/>
          <w:color w:val="000000" w:themeColor="text1"/>
        </w:rPr>
        <w:t>These files cannot be provided to the public.</w:t>
      </w:r>
    </w:p>
    <w:p w14:paraId="5E0B536A" w14:textId="418D03A1" w:rsidR="00AC222A" w:rsidRPr="00896A22" w:rsidRDefault="0088739E" w:rsidP="00AC222A">
      <w:pPr>
        <w:pStyle w:val="BodyText"/>
        <w:numPr>
          <w:ilvl w:val="0"/>
          <w:numId w:val="23"/>
        </w:numPr>
        <w:jc w:val="both"/>
      </w:pPr>
      <w:r>
        <w:rPr>
          <w:rFonts w:ascii="Times New Roman" w:hAnsi="Times New Roman" w:cs="Times New Roman"/>
          <w:color w:val="000000" w:themeColor="text1"/>
        </w:rPr>
        <w:t xml:space="preserve">The subdirectory </w:t>
      </w:r>
      <w:r w:rsidRPr="00896A22">
        <w:rPr>
          <w:rFonts w:ascii="Consolas" w:hAnsi="Consolas"/>
          <w:sz w:val="22"/>
          <w:szCs w:val="22"/>
        </w:rPr>
        <w:t>output/</w:t>
      </w:r>
      <w:r w:rsidR="009319F4">
        <w:rPr>
          <w:rFonts w:ascii="Consolas" w:hAnsi="Consolas"/>
          <w:sz w:val="22"/>
          <w:szCs w:val="22"/>
        </w:rPr>
        <w:t>analysis/</w:t>
      </w:r>
      <w:r w:rsidRPr="00896A22">
        <w:rPr>
          <w:rFonts w:ascii="Consolas" w:hAnsi="Consolas"/>
          <w:sz w:val="22"/>
          <w:szCs w:val="22"/>
        </w:rPr>
        <w:t>graphs</w:t>
      </w:r>
      <w:r w:rsidR="009319F4">
        <w:rPr>
          <w:rFonts w:ascii="Consolas" w:hAnsi="Consolas"/>
          <w:sz w:val="22"/>
          <w:szCs w:val="22"/>
        </w:rPr>
        <w:t>/</w:t>
      </w:r>
      <w:r>
        <w:rPr>
          <w:rFonts w:ascii="Times New Roman" w:hAnsi="Times New Roman" w:cs="Times New Roman"/>
          <w:color w:val="000000" w:themeColor="text1"/>
        </w:rPr>
        <w:t xml:space="preserve"> is where all </w:t>
      </w:r>
      <w:r w:rsidR="00E6785C">
        <w:rPr>
          <w:rFonts w:ascii="Times New Roman" w:hAnsi="Times New Roman" w:cs="Times New Roman"/>
          <w:color w:val="000000" w:themeColor="text1"/>
        </w:rPr>
        <w:t>figures</w:t>
      </w:r>
      <w:r>
        <w:rPr>
          <w:rFonts w:ascii="Times New Roman" w:hAnsi="Times New Roman" w:cs="Times New Roman"/>
          <w:color w:val="000000" w:themeColor="text1"/>
        </w:rPr>
        <w:t xml:space="preserve"> produced </w:t>
      </w:r>
      <w:r w:rsidR="00E56191">
        <w:rPr>
          <w:rFonts w:ascii="Times New Roman" w:hAnsi="Times New Roman" w:cs="Times New Roman"/>
          <w:color w:val="000000" w:themeColor="text1"/>
        </w:rPr>
        <w:t>by</w:t>
      </w:r>
      <w:r>
        <w:rPr>
          <w:rFonts w:ascii="Times New Roman" w:hAnsi="Times New Roman" w:cs="Times New Roman"/>
          <w:color w:val="000000" w:themeColor="text1"/>
        </w:rPr>
        <w:t xml:space="preserve"> the code are saved.</w:t>
      </w:r>
      <w:r w:rsidR="00E6785C">
        <w:rPr>
          <w:rFonts w:ascii="Times New Roman" w:hAnsi="Times New Roman" w:cs="Times New Roman"/>
          <w:color w:val="000000" w:themeColor="text1"/>
        </w:rPr>
        <w:t xml:space="preserve"> See file </w:t>
      </w:r>
      <w:r w:rsidR="00E6785C">
        <w:rPr>
          <w:rFonts w:ascii="Consolas" w:hAnsi="Consolas" w:cs="Times New Roman"/>
          <w:sz w:val="22"/>
          <w:szCs w:val="22"/>
        </w:rPr>
        <w:t>0_1_Compiled_tables_and_materials_list.xlsx</w:t>
      </w:r>
      <w:r w:rsidR="00E6785C">
        <w:rPr>
          <w:rFonts w:ascii="Times New Roman" w:hAnsi="Times New Roman" w:cs="Times New Roman"/>
          <w:color w:val="000000" w:themeColor="text1"/>
        </w:rPr>
        <w:t>, sheet “</w:t>
      </w:r>
      <w:r w:rsidR="00263E91">
        <w:rPr>
          <w:rFonts w:ascii="Times New Roman" w:hAnsi="Times New Roman" w:cs="Times New Roman"/>
          <w:color w:val="000000" w:themeColor="text1"/>
        </w:rPr>
        <w:t>List of Figures</w:t>
      </w:r>
      <w:r w:rsidR="00E6785C">
        <w:rPr>
          <w:rFonts w:ascii="Times New Roman" w:hAnsi="Times New Roman" w:cs="Times New Roman"/>
          <w:color w:val="000000" w:themeColor="text1"/>
        </w:rPr>
        <w:t xml:space="preserve">” for the </w:t>
      </w:r>
      <w:r w:rsidR="00D120DF">
        <w:rPr>
          <w:rFonts w:ascii="Times New Roman" w:hAnsi="Times New Roman" w:cs="Times New Roman"/>
          <w:color w:val="000000" w:themeColor="text1"/>
        </w:rPr>
        <w:t>correspondence between the figure names as saved by the code and the figure numbers in the paper.</w:t>
      </w:r>
      <w:r w:rsidR="0014583F">
        <w:rPr>
          <w:rFonts w:ascii="Times New Roman" w:hAnsi="Times New Roman" w:cs="Times New Roman"/>
          <w:color w:val="000000" w:themeColor="text1"/>
        </w:rPr>
        <w:t xml:space="preserve"> </w:t>
      </w:r>
      <w:r w:rsidR="0014583F" w:rsidRPr="00F408C2">
        <w:rPr>
          <w:rFonts w:ascii="Times New Roman" w:hAnsi="Times New Roman" w:cs="Times New Roman"/>
          <w:b/>
          <w:bCs/>
          <w:color w:val="000000" w:themeColor="text1"/>
        </w:rPr>
        <w:t>We provide these files to the public.</w:t>
      </w:r>
    </w:p>
    <w:p w14:paraId="2635367D" w14:textId="2A01357D" w:rsidR="007C5985" w:rsidRPr="00896A22" w:rsidRDefault="007C5985" w:rsidP="00F410D1">
      <w:pPr>
        <w:pStyle w:val="BodyText"/>
        <w:numPr>
          <w:ilvl w:val="0"/>
          <w:numId w:val="23"/>
        </w:numPr>
        <w:jc w:val="both"/>
      </w:pPr>
      <w:r>
        <w:rPr>
          <w:rFonts w:ascii="Times New Roman" w:hAnsi="Times New Roman" w:cs="Times New Roman"/>
          <w:color w:val="000000" w:themeColor="text1"/>
        </w:rPr>
        <w:t xml:space="preserve">The subdirectory </w:t>
      </w:r>
      <w:r w:rsidRPr="00896A22">
        <w:rPr>
          <w:rFonts w:ascii="Consolas" w:hAnsi="Consolas"/>
          <w:sz w:val="22"/>
          <w:szCs w:val="22"/>
        </w:rPr>
        <w:t>output/</w:t>
      </w:r>
      <w:r w:rsidR="009319F4">
        <w:rPr>
          <w:rFonts w:ascii="Consolas" w:hAnsi="Consolas"/>
          <w:sz w:val="22"/>
          <w:szCs w:val="22"/>
        </w:rPr>
        <w:t>analysis/</w:t>
      </w:r>
      <w:r w:rsidRPr="00896A22">
        <w:rPr>
          <w:rFonts w:ascii="Consolas" w:hAnsi="Consolas"/>
          <w:sz w:val="22"/>
          <w:szCs w:val="22"/>
        </w:rPr>
        <w:t>csv</w:t>
      </w:r>
      <w:r w:rsidR="009319F4">
        <w:rPr>
          <w:rFonts w:ascii="Consolas" w:hAnsi="Consolas"/>
          <w:sz w:val="22"/>
          <w:szCs w:val="22"/>
        </w:rPr>
        <w:t>/</w:t>
      </w:r>
      <w:r>
        <w:rPr>
          <w:rFonts w:ascii="Times New Roman" w:hAnsi="Times New Roman" w:cs="Times New Roman"/>
          <w:color w:val="000000" w:themeColor="text1"/>
        </w:rPr>
        <w:t xml:space="preserve"> is where all .csv produced </w:t>
      </w:r>
      <w:r w:rsidR="00E20C55">
        <w:rPr>
          <w:rFonts w:ascii="Times New Roman" w:hAnsi="Times New Roman" w:cs="Times New Roman"/>
          <w:color w:val="000000" w:themeColor="text1"/>
        </w:rPr>
        <w:t>by</w:t>
      </w:r>
      <w:r>
        <w:rPr>
          <w:rFonts w:ascii="Times New Roman" w:hAnsi="Times New Roman" w:cs="Times New Roman"/>
          <w:color w:val="000000" w:themeColor="text1"/>
        </w:rPr>
        <w:t xml:space="preserve"> the code are saved. These files </w:t>
      </w:r>
      <w:r w:rsidR="000A7299">
        <w:rPr>
          <w:rFonts w:ascii="Times New Roman" w:hAnsi="Times New Roman" w:cs="Times New Roman"/>
          <w:color w:val="000000" w:themeColor="text1"/>
        </w:rPr>
        <w:t>should be pasted into their corresponding sheet names</w:t>
      </w:r>
      <w:r>
        <w:rPr>
          <w:rFonts w:ascii="Times New Roman" w:hAnsi="Times New Roman" w:cs="Times New Roman"/>
          <w:color w:val="000000" w:themeColor="text1"/>
        </w:rPr>
        <w:t xml:space="preserve"> </w:t>
      </w:r>
      <w:r w:rsidR="000A7299">
        <w:rPr>
          <w:rFonts w:ascii="Times New Roman" w:hAnsi="Times New Roman" w:cs="Times New Roman"/>
          <w:color w:val="000000" w:themeColor="text1"/>
        </w:rPr>
        <w:t xml:space="preserve">in file </w:t>
      </w:r>
      <w:r w:rsidR="000A7299">
        <w:rPr>
          <w:rFonts w:ascii="Consolas" w:hAnsi="Consolas" w:cs="Times New Roman"/>
          <w:sz w:val="22"/>
          <w:szCs w:val="22"/>
        </w:rPr>
        <w:t>0_1_Compiled_tables_and_materials_list.xlsx</w:t>
      </w:r>
      <w:r w:rsidR="000A7299">
        <w:rPr>
          <w:rFonts w:ascii="Times New Roman" w:hAnsi="Times New Roman" w:cs="Times New Roman"/>
          <w:color w:val="000000" w:themeColor="text1"/>
        </w:rPr>
        <w:t xml:space="preserve">  to generate the formatted </w:t>
      </w:r>
      <w:r>
        <w:rPr>
          <w:rFonts w:ascii="Times New Roman" w:hAnsi="Times New Roman" w:cs="Times New Roman"/>
          <w:color w:val="000000" w:themeColor="text1"/>
        </w:rPr>
        <w:t xml:space="preserve">tables  </w:t>
      </w:r>
      <w:r w:rsidR="000A7299">
        <w:rPr>
          <w:rFonts w:ascii="Times New Roman" w:hAnsi="Times New Roman" w:cs="Times New Roman"/>
          <w:color w:val="000000" w:themeColor="text1"/>
        </w:rPr>
        <w:t xml:space="preserve">in the paper. </w:t>
      </w:r>
      <w:r>
        <w:rPr>
          <w:rFonts w:ascii="Times New Roman" w:hAnsi="Times New Roman" w:cs="Times New Roman"/>
          <w:color w:val="000000" w:themeColor="text1"/>
        </w:rPr>
        <w:t xml:space="preserve">See file </w:t>
      </w:r>
      <w:r>
        <w:rPr>
          <w:rFonts w:ascii="Consolas" w:hAnsi="Consolas" w:cs="Times New Roman"/>
          <w:sz w:val="22"/>
          <w:szCs w:val="22"/>
        </w:rPr>
        <w:t>0_1_Compiled_tables_and_materials_list.xlsx</w:t>
      </w:r>
      <w:r>
        <w:rPr>
          <w:rFonts w:ascii="Times New Roman" w:hAnsi="Times New Roman" w:cs="Times New Roman"/>
          <w:color w:val="000000" w:themeColor="text1"/>
        </w:rPr>
        <w:t xml:space="preserve">, sheet “List of </w:t>
      </w:r>
      <w:r w:rsidR="000A7299">
        <w:rPr>
          <w:rFonts w:ascii="Times New Roman" w:hAnsi="Times New Roman" w:cs="Times New Roman"/>
          <w:color w:val="000000" w:themeColor="text1"/>
        </w:rPr>
        <w:t>tables</w:t>
      </w:r>
      <w:r>
        <w:rPr>
          <w:rFonts w:ascii="Times New Roman" w:hAnsi="Times New Roman" w:cs="Times New Roman"/>
          <w:color w:val="000000" w:themeColor="text1"/>
        </w:rPr>
        <w:t xml:space="preserve">” for the correspondence between </w:t>
      </w:r>
      <w:r w:rsidR="000A7299">
        <w:rPr>
          <w:rFonts w:ascii="Times New Roman" w:hAnsi="Times New Roman" w:cs="Times New Roman"/>
          <w:color w:val="000000" w:themeColor="text1"/>
        </w:rPr>
        <w:t>the .csv files, the excel sheet where they were pasted, and the paper tables they feed</w:t>
      </w:r>
      <w:r w:rsidR="0014583F">
        <w:rPr>
          <w:rFonts w:ascii="Times New Roman" w:hAnsi="Times New Roman" w:cs="Times New Roman"/>
          <w:color w:val="000000" w:themeColor="text1"/>
        </w:rPr>
        <w:t xml:space="preserve">. </w:t>
      </w:r>
      <w:r w:rsidR="0014583F" w:rsidRPr="00F408C2">
        <w:rPr>
          <w:rFonts w:ascii="Times New Roman" w:hAnsi="Times New Roman" w:cs="Times New Roman"/>
          <w:b/>
          <w:bCs/>
          <w:color w:val="000000" w:themeColor="text1"/>
        </w:rPr>
        <w:t>We provide these files to the public.</w:t>
      </w:r>
    </w:p>
    <w:p w14:paraId="5D5AA86D" w14:textId="77777777" w:rsidR="00465D0E" w:rsidRPr="00573574" w:rsidRDefault="00F1449E" w:rsidP="00DB20D7">
      <w:pPr>
        <w:pStyle w:val="Heading2"/>
        <w:jc w:val="both"/>
        <w:rPr>
          <w:rFonts w:ascii="Times New Roman" w:hAnsi="Times New Roman" w:cs="Times New Roman"/>
          <w:color w:val="000000" w:themeColor="text1"/>
          <w:sz w:val="24"/>
          <w:szCs w:val="24"/>
        </w:rPr>
      </w:pPr>
      <w:r w:rsidRPr="00573574">
        <w:rPr>
          <w:rFonts w:ascii="Times New Roman" w:hAnsi="Times New Roman" w:cs="Times New Roman"/>
          <w:color w:val="000000" w:themeColor="text1"/>
          <w:sz w:val="24"/>
          <w:szCs w:val="24"/>
        </w:rPr>
        <w:t>Description of</w:t>
      </w:r>
      <w:bookmarkEnd w:id="4"/>
      <w:r w:rsidR="00D27785" w:rsidRPr="00573574">
        <w:rPr>
          <w:rFonts w:ascii="Times New Roman" w:hAnsi="Times New Roman" w:cs="Times New Roman"/>
          <w:color w:val="000000" w:themeColor="text1"/>
          <w:sz w:val="24"/>
          <w:szCs w:val="24"/>
        </w:rPr>
        <w:t xml:space="preserve"> Code</w:t>
      </w:r>
    </w:p>
    <w:p w14:paraId="673320E6" w14:textId="1DAAEA2B" w:rsidR="00D0172D" w:rsidRPr="00573574" w:rsidRDefault="00282466" w:rsidP="00896A22">
      <w:pPr>
        <w:pStyle w:val="BodyText"/>
        <w:jc w:val="both"/>
        <w:rPr>
          <w:rFonts w:ascii="Times New Roman" w:hAnsi="Times New Roman" w:cs="Times New Roman"/>
        </w:rPr>
      </w:pPr>
      <w:r w:rsidRPr="00573574">
        <w:rPr>
          <w:rFonts w:ascii="Times New Roman" w:hAnsi="Times New Roman" w:cs="Times New Roman"/>
        </w:rPr>
        <w:t xml:space="preserve">All code necessary to replicate the analysis is provided in the subdirectory </w:t>
      </w:r>
      <w:r w:rsidRPr="00CE0861">
        <w:rPr>
          <w:rFonts w:ascii="Consolas" w:hAnsi="Consolas"/>
          <w:sz w:val="22"/>
          <w:szCs w:val="22"/>
        </w:rPr>
        <w:t>code</w:t>
      </w:r>
      <w:r w:rsidR="00CE0861">
        <w:rPr>
          <w:rFonts w:ascii="Consolas" w:hAnsi="Consolas"/>
          <w:sz w:val="22"/>
          <w:szCs w:val="22"/>
        </w:rPr>
        <w:t>/</w:t>
      </w:r>
      <w:r w:rsidRPr="00573574">
        <w:rPr>
          <w:rFonts w:ascii="Times New Roman" w:hAnsi="Times New Roman" w:cs="Times New Roman"/>
        </w:rPr>
        <w:t>.</w:t>
      </w:r>
      <w:r w:rsidR="006F0586">
        <w:rPr>
          <w:rFonts w:ascii="Times New Roman" w:hAnsi="Times New Roman" w:cs="Times New Roman"/>
        </w:rPr>
        <w:t xml:space="preserve"> </w:t>
      </w:r>
      <w:r w:rsidR="00760029">
        <w:rPr>
          <w:rFonts w:ascii="Times New Roman" w:hAnsi="Times New Roman" w:cs="Times New Roman"/>
        </w:rPr>
        <w:t>See</w:t>
      </w:r>
      <w:r w:rsidR="006F0586">
        <w:rPr>
          <w:rFonts w:ascii="Times New Roman" w:hAnsi="Times New Roman" w:cs="Times New Roman"/>
        </w:rPr>
        <w:t xml:space="preserve"> </w:t>
      </w:r>
      <w:r w:rsidR="00BD3DE6">
        <w:rPr>
          <w:rFonts w:ascii="Consolas" w:hAnsi="Consolas" w:cs="Times New Roman"/>
          <w:sz w:val="22"/>
          <w:szCs w:val="22"/>
        </w:rPr>
        <w:t>0_1_C</w:t>
      </w:r>
      <w:r w:rsidR="00760029">
        <w:rPr>
          <w:rFonts w:ascii="Consolas" w:hAnsi="Consolas" w:cs="Times New Roman"/>
          <w:sz w:val="22"/>
          <w:szCs w:val="22"/>
        </w:rPr>
        <w:t>ompiled_tables_and_materials_list.xlsx</w:t>
      </w:r>
      <w:r w:rsidR="00760029" w:rsidRPr="00896A22">
        <w:rPr>
          <w:rFonts w:ascii="Times New Roman" w:hAnsi="Times New Roman" w:cs="Times New Roman"/>
        </w:rPr>
        <w:t>, sheet “</w:t>
      </w:r>
      <w:r w:rsidR="00263E91">
        <w:rPr>
          <w:rFonts w:ascii="Times New Roman" w:hAnsi="Times New Roman" w:cs="Times New Roman"/>
        </w:rPr>
        <w:t>List of Scripts</w:t>
      </w:r>
      <w:r w:rsidR="00760029">
        <w:rPr>
          <w:rFonts w:ascii="Times New Roman" w:hAnsi="Times New Roman" w:cs="Times New Roman"/>
        </w:rPr>
        <w:t>” for a description of each file.</w:t>
      </w:r>
    </w:p>
    <w:p w14:paraId="2F81F8AA" w14:textId="77777777" w:rsidR="002D5346" w:rsidRPr="00573574" w:rsidRDefault="00F1449E" w:rsidP="00DB20D7">
      <w:pPr>
        <w:pStyle w:val="Heading2"/>
        <w:spacing w:after="200"/>
        <w:jc w:val="both"/>
        <w:rPr>
          <w:rFonts w:ascii="Times New Roman" w:hAnsi="Times New Roman" w:cs="Times New Roman"/>
          <w:color w:val="000000" w:themeColor="text1"/>
          <w:sz w:val="24"/>
          <w:szCs w:val="24"/>
        </w:rPr>
      </w:pPr>
      <w:bookmarkStart w:id="5" w:name="instructions-to-replicators"/>
      <w:r w:rsidRPr="00573574">
        <w:rPr>
          <w:rFonts w:ascii="Times New Roman" w:hAnsi="Times New Roman" w:cs="Times New Roman"/>
          <w:color w:val="000000" w:themeColor="text1"/>
          <w:sz w:val="24"/>
          <w:szCs w:val="24"/>
        </w:rPr>
        <w:t>Instructions to Replicators</w:t>
      </w:r>
      <w:bookmarkEnd w:id="5"/>
    </w:p>
    <w:p w14:paraId="282D54D2" w14:textId="1BDC027A" w:rsidR="004A619A" w:rsidRDefault="004A619A" w:rsidP="00DB20D7">
      <w:pPr>
        <w:jc w:val="both"/>
      </w:pPr>
      <w:r w:rsidRPr="00573574">
        <w:t>The code provided constructs all the cleaned analysis datasets from raw datasets. Due to data restrictions, we cannot provide the raw datasets used, nor the derivative cleaned analysis datasets.</w:t>
      </w:r>
      <w:r w:rsidR="00906F72">
        <w:t xml:space="preserve"> </w:t>
      </w:r>
    </w:p>
    <w:p w14:paraId="1BDB1BDB" w14:textId="77777777" w:rsidR="00FD38EE" w:rsidRPr="00573574" w:rsidRDefault="00FD38EE" w:rsidP="00DB20D7">
      <w:pPr>
        <w:jc w:val="both"/>
      </w:pPr>
    </w:p>
    <w:p w14:paraId="5206D56B" w14:textId="77777777" w:rsidR="00F80F16" w:rsidRDefault="00F80F16" w:rsidP="00DB20D7">
      <w:pPr>
        <w:jc w:val="both"/>
      </w:pPr>
    </w:p>
    <w:p w14:paraId="3A773E3E" w14:textId="71E0A42A" w:rsidR="008944EF" w:rsidRPr="00573574" w:rsidRDefault="008944EF" w:rsidP="00DB20D7">
      <w:pPr>
        <w:jc w:val="both"/>
      </w:pPr>
      <w:r w:rsidRPr="00573574">
        <w:t>Steps for replication:</w:t>
      </w:r>
    </w:p>
    <w:p w14:paraId="016C8992" w14:textId="534A088F" w:rsidR="00365B93" w:rsidRDefault="00365B93" w:rsidP="00DB20D7">
      <w:pPr>
        <w:numPr>
          <w:ilvl w:val="0"/>
          <w:numId w:val="13"/>
        </w:numPr>
        <w:jc w:val="both"/>
      </w:pPr>
      <w:r>
        <w:t xml:space="preserve">Obtain the raw datasets from DGT and place them in </w:t>
      </w:r>
      <w:r w:rsidR="00DA75E7">
        <w:t xml:space="preserve">their corresponding subdirectories, listed in </w:t>
      </w:r>
      <w:r w:rsidR="00DA75E7">
        <w:rPr>
          <w:rFonts w:ascii="Consolas" w:hAnsi="Consolas"/>
          <w:sz w:val="22"/>
          <w:szCs w:val="22"/>
        </w:rPr>
        <w:t>0_1_Compiled_tables_and_materials_list.xlsx</w:t>
      </w:r>
      <w:r w:rsidR="00DA75E7" w:rsidRPr="007464B6">
        <w:t>, sheet “</w:t>
      </w:r>
      <w:r w:rsidR="00BA2178">
        <w:t>List of Raw Datasets</w:t>
      </w:r>
      <w:r w:rsidR="00DA75E7">
        <w:t>”.</w:t>
      </w:r>
    </w:p>
    <w:p w14:paraId="0B9BA007" w14:textId="21365C59" w:rsidR="008944EF" w:rsidRPr="00573574" w:rsidRDefault="008944EF" w:rsidP="00DB20D7">
      <w:pPr>
        <w:numPr>
          <w:ilvl w:val="0"/>
          <w:numId w:val="13"/>
        </w:numPr>
        <w:jc w:val="both"/>
      </w:pPr>
      <w:r w:rsidRPr="00573574">
        <w:t xml:space="preserve">Edit </w:t>
      </w:r>
      <w:r w:rsidRPr="00E86572">
        <w:rPr>
          <w:rFonts w:ascii="Consolas" w:hAnsi="Consolas"/>
          <w:sz w:val="22"/>
          <w:szCs w:val="22"/>
        </w:rPr>
        <w:t>code/0_</w:t>
      </w:r>
      <w:r w:rsidR="005548C1">
        <w:rPr>
          <w:rFonts w:ascii="Consolas" w:hAnsi="Consolas"/>
          <w:sz w:val="22"/>
          <w:szCs w:val="22"/>
        </w:rPr>
        <w:t>master</w:t>
      </w:r>
      <w:r w:rsidRPr="00E86572">
        <w:rPr>
          <w:rFonts w:ascii="Consolas" w:hAnsi="Consolas"/>
          <w:sz w:val="22"/>
          <w:szCs w:val="22"/>
        </w:rPr>
        <w:t>.do</w:t>
      </w:r>
      <w:r w:rsidRPr="00573574">
        <w:t xml:space="preserve"> to adjust the </w:t>
      </w:r>
      <w:r w:rsidR="00D565EC">
        <w:t>path</w:t>
      </w:r>
      <w:r w:rsidR="00A10F76">
        <w:t xml:space="preserve">s. Global </w:t>
      </w:r>
      <w:r w:rsidR="007C4721">
        <w:t>${</w:t>
      </w:r>
      <w:r w:rsidR="008D4EDF">
        <w:t>output</w:t>
      </w:r>
      <w:r w:rsidR="007C4721">
        <w:t>}</w:t>
      </w:r>
      <w:r w:rsidR="002074BE">
        <w:t xml:space="preserve"> should be the path </w:t>
      </w:r>
      <w:r w:rsidR="008D4EDF">
        <w:t xml:space="preserve">leading to the </w:t>
      </w:r>
      <w:r w:rsidR="008D4EDF" w:rsidRPr="00896A22">
        <w:rPr>
          <w:rFonts w:ascii="Consolas" w:hAnsi="Consolas"/>
          <w:sz w:val="22"/>
          <w:szCs w:val="22"/>
        </w:rPr>
        <w:t>output/</w:t>
      </w:r>
      <w:r w:rsidR="008D4EDF">
        <w:t xml:space="preserve"> subdirectory in this replication kit. Global </w:t>
      </w:r>
      <w:r w:rsidR="007C4721">
        <w:t>${</w:t>
      </w:r>
      <w:r w:rsidR="008D4EDF">
        <w:t>raw</w:t>
      </w:r>
      <w:r w:rsidR="007C4721">
        <w:t>}</w:t>
      </w:r>
      <w:r w:rsidR="008D4EDF">
        <w:t xml:space="preserve"> should be the path leading to the </w:t>
      </w:r>
      <w:r w:rsidR="008D4EDF" w:rsidRPr="00896A22">
        <w:rPr>
          <w:rFonts w:ascii="Consolas" w:hAnsi="Consolas"/>
          <w:sz w:val="22"/>
          <w:szCs w:val="22"/>
        </w:rPr>
        <w:t>raw/</w:t>
      </w:r>
      <w:r w:rsidR="008D4EDF">
        <w:t xml:space="preserve"> subdirectory in this replication kit.</w:t>
      </w:r>
    </w:p>
    <w:p w14:paraId="5EC76D1C" w14:textId="072C150A" w:rsidR="00BD080C" w:rsidRDefault="008944EF" w:rsidP="00DB20D7">
      <w:pPr>
        <w:numPr>
          <w:ilvl w:val="0"/>
          <w:numId w:val="13"/>
        </w:numPr>
        <w:jc w:val="both"/>
      </w:pPr>
      <w:r w:rsidRPr="00573574">
        <w:t xml:space="preserve">Run the do file </w:t>
      </w:r>
      <w:r w:rsidR="00255174">
        <w:rPr>
          <w:rFonts w:ascii="Consolas" w:hAnsi="Consolas"/>
          <w:sz w:val="22"/>
          <w:szCs w:val="22"/>
        </w:rPr>
        <w:t>0_master</w:t>
      </w:r>
      <w:r w:rsidRPr="00E86572">
        <w:rPr>
          <w:rFonts w:ascii="Consolas" w:hAnsi="Consolas"/>
          <w:sz w:val="22"/>
          <w:szCs w:val="22"/>
        </w:rPr>
        <w:t>.</w:t>
      </w:r>
      <w:r w:rsidR="00B37F2B">
        <w:rPr>
          <w:rFonts w:ascii="Consolas" w:hAnsi="Consolas"/>
          <w:sz w:val="22"/>
          <w:szCs w:val="22"/>
        </w:rPr>
        <w:t>do</w:t>
      </w:r>
      <w:r w:rsidR="00B37F2B" w:rsidRPr="00896A22">
        <w:t xml:space="preserve">. </w:t>
      </w:r>
      <w:r w:rsidR="00AE7E1A">
        <w:t>See above for run times.</w:t>
      </w:r>
    </w:p>
    <w:p w14:paraId="6B6FBB2F" w14:textId="659873B4" w:rsidR="00E13612" w:rsidRDefault="00B37F2B" w:rsidP="00DB20D7">
      <w:pPr>
        <w:numPr>
          <w:ilvl w:val="0"/>
          <w:numId w:val="13"/>
        </w:numPr>
        <w:jc w:val="both"/>
      </w:pPr>
      <w:r w:rsidRPr="00896A22">
        <w:t>O</w:t>
      </w:r>
      <w:r>
        <w:t>nce</w:t>
      </w:r>
      <w:r w:rsidR="00BD080C" w:rsidRPr="00BD080C">
        <w:t xml:space="preserve"> </w:t>
      </w:r>
      <w:r w:rsidR="00BD080C">
        <w:t xml:space="preserve"> </w:t>
      </w:r>
      <w:r w:rsidR="00BD080C">
        <w:rPr>
          <w:rFonts w:ascii="Consolas" w:hAnsi="Consolas"/>
          <w:sz w:val="22"/>
          <w:szCs w:val="22"/>
        </w:rPr>
        <w:t>0_master</w:t>
      </w:r>
      <w:r w:rsidR="00BD080C" w:rsidRPr="00E86572">
        <w:rPr>
          <w:rFonts w:ascii="Consolas" w:hAnsi="Consolas"/>
          <w:sz w:val="22"/>
          <w:szCs w:val="22"/>
        </w:rPr>
        <w:t>.</w:t>
      </w:r>
      <w:r w:rsidR="00BD080C">
        <w:rPr>
          <w:rFonts w:ascii="Consolas" w:hAnsi="Consolas"/>
          <w:sz w:val="22"/>
          <w:szCs w:val="22"/>
        </w:rPr>
        <w:t xml:space="preserve">do </w:t>
      </w:r>
      <w:r>
        <w:t>has finished running</w:t>
      </w:r>
      <w:r w:rsidR="00607CB0">
        <w:t>:</w:t>
      </w:r>
    </w:p>
    <w:p w14:paraId="13FD3F9C" w14:textId="0C3D5B4E" w:rsidR="00C25B16" w:rsidRDefault="00C25B16" w:rsidP="00E13612">
      <w:pPr>
        <w:numPr>
          <w:ilvl w:val="1"/>
          <w:numId w:val="13"/>
        </w:numPr>
        <w:jc w:val="both"/>
      </w:pPr>
      <w:r>
        <w:t xml:space="preserve">Copy the .csv files saved to </w:t>
      </w:r>
      <w:r w:rsidRPr="00280029">
        <w:rPr>
          <w:rFonts w:ascii="Consolas" w:hAnsi="Consolas"/>
          <w:sz w:val="22"/>
          <w:szCs w:val="22"/>
        </w:rPr>
        <w:t>output/</w:t>
      </w:r>
      <w:r w:rsidR="00C51CBD" w:rsidRPr="00280029">
        <w:rPr>
          <w:rFonts w:ascii="Consolas" w:hAnsi="Consolas"/>
          <w:sz w:val="22"/>
          <w:szCs w:val="22"/>
        </w:rPr>
        <w:t>analysis/</w:t>
      </w:r>
      <w:r w:rsidRPr="00280029">
        <w:rPr>
          <w:rFonts w:ascii="Consolas" w:hAnsi="Consolas"/>
          <w:sz w:val="22"/>
          <w:szCs w:val="22"/>
        </w:rPr>
        <w:t>csv</w:t>
      </w:r>
      <w:r>
        <w:t xml:space="preserve"> into their corresponding excel sheets in the file </w:t>
      </w:r>
      <w:r w:rsidRPr="002D108F">
        <w:rPr>
          <w:rFonts w:ascii="Consolas" w:hAnsi="Consolas"/>
          <w:sz w:val="22"/>
          <w:szCs w:val="22"/>
        </w:rPr>
        <w:t>0_1_Compiled_tables_and_materials_list</w:t>
      </w:r>
      <w:r>
        <w:rPr>
          <w:rFonts w:ascii="Consolas" w:hAnsi="Consolas"/>
          <w:sz w:val="22"/>
          <w:szCs w:val="22"/>
        </w:rPr>
        <w:t>.xlsx</w:t>
      </w:r>
      <w:r w:rsidRPr="00896A22">
        <w:t>. See sheet “List of Tables” for the sheet names where each .csv file should be pasted. Once pasted, these files feed the formatted tables used in the paper, named and listed accordingly in sheet “List of Tables”.</w:t>
      </w:r>
      <w:r>
        <w:t xml:space="preserve"> </w:t>
      </w:r>
    </w:p>
    <w:p w14:paraId="0938C485" w14:textId="474D4851" w:rsidR="00E13612" w:rsidRDefault="00E13612" w:rsidP="00E13612">
      <w:pPr>
        <w:numPr>
          <w:ilvl w:val="1"/>
          <w:numId w:val="13"/>
        </w:numPr>
        <w:jc w:val="both"/>
      </w:pPr>
      <w:r>
        <w:t>E</w:t>
      </w:r>
      <w:r w:rsidR="001F073C">
        <w:t xml:space="preserve">dit script </w:t>
      </w:r>
      <w:r w:rsidR="001F073C" w:rsidRPr="00896A22">
        <w:rPr>
          <w:rFonts w:ascii="Consolas" w:hAnsi="Consolas"/>
          <w:sz w:val="22"/>
          <w:szCs w:val="22"/>
        </w:rPr>
        <w:t>code/</w:t>
      </w:r>
      <w:r w:rsidR="003A181F">
        <w:rPr>
          <w:rFonts w:ascii="Consolas" w:hAnsi="Consolas"/>
          <w:sz w:val="22"/>
          <w:szCs w:val="22"/>
        </w:rPr>
        <w:t>analysis/</w:t>
      </w:r>
      <w:r w:rsidR="00796787" w:rsidRPr="00896A22">
        <w:rPr>
          <w:rFonts w:ascii="Consolas" w:hAnsi="Consolas"/>
          <w:sz w:val="22"/>
          <w:szCs w:val="22"/>
        </w:rPr>
        <w:t>Plot_ETI_variation.R</w:t>
      </w:r>
      <w:r w:rsidR="001F073C" w:rsidRPr="00F408C2">
        <w:t xml:space="preserve"> to adjust the paths</w:t>
      </w:r>
      <w:r w:rsidR="001F073C" w:rsidRPr="00896A22">
        <w:t>. The</w:t>
      </w:r>
      <w:r w:rsidR="00EA0FDE">
        <w:t xml:space="preserve"> local</w:t>
      </w:r>
      <w:r w:rsidR="001F073C">
        <w:rPr>
          <w:rFonts w:ascii="Consolas" w:hAnsi="Consolas"/>
          <w:sz w:val="22"/>
          <w:szCs w:val="22"/>
        </w:rPr>
        <w:t xml:space="preserve"> </w:t>
      </w:r>
      <w:r w:rsidR="001F073C" w:rsidRPr="00F408C2">
        <w:t xml:space="preserve">inpath </w:t>
      </w:r>
      <w:r w:rsidR="001F073C" w:rsidRPr="00896A22">
        <w:t>should be</w:t>
      </w:r>
      <w:r w:rsidR="00EA0FDE" w:rsidRPr="00896A22">
        <w:t xml:space="preserve"> the path leading </w:t>
      </w:r>
      <w:r w:rsidR="00EA0FDE">
        <w:t xml:space="preserve">to the replication subdirectory </w:t>
      </w:r>
      <w:r w:rsidR="00EA0FDE" w:rsidRPr="00896A22">
        <w:rPr>
          <w:rFonts w:ascii="Consolas" w:hAnsi="Consolas"/>
          <w:sz w:val="22"/>
          <w:szCs w:val="22"/>
        </w:rPr>
        <w:t>output/</w:t>
      </w:r>
      <w:r w:rsidR="003A181F">
        <w:rPr>
          <w:rFonts w:ascii="Consolas" w:hAnsi="Consolas"/>
          <w:sz w:val="22"/>
          <w:szCs w:val="22"/>
        </w:rPr>
        <w:t>analysis/</w:t>
      </w:r>
      <w:r w:rsidR="00EA0FDE" w:rsidRPr="00896A22">
        <w:rPr>
          <w:rFonts w:ascii="Consolas" w:hAnsi="Consolas"/>
          <w:sz w:val="22"/>
          <w:szCs w:val="22"/>
        </w:rPr>
        <w:t>regcoeffs</w:t>
      </w:r>
      <w:r w:rsidR="00EA0FDE">
        <w:t xml:space="preserve">, and the local </w:t>
      </w:r>
      <w:r w:rsidR="00EA0FDE" w:rsidRPr="00F408C2">
        <w:t>outpath</w:t>
      </w:r>
      <w:r w:rsidR="00EA0FDE">
        <w:t xml:space="preserve"> should be the path leading to the replication subdirectory </w:t>
      </w:r>
      <w:r w:rsidR="00EA0FDE" w:rsidRPr="00896A22">
        <w:rPr>
          <w:rFonts w:ascii="Consolas" w:hAnsi="Consolas"/>
          <w:sz w:val="22"/>
          <w:szCs w:val="22"/>
        </w:rPr>
        <w:t>output/</w:t>
      </w:r>
      <w:r w:rsidR="0060656C">
        <w:rPr>
          <w:rFonts w:ascii="Consolas" w:hAnsi="Consolas"/>
          <w:sz w:val="22"/>
          <w:szCs w:val="22"/>
        </w:rPr>
        <w:t>analysis/</w:t>
      </w:r>
      <w:r w:rsidR="00EA0FDE" w:rsidRPr="00896A22">
        <w:rPr>
          <w:rFonts w:ascii="Consolas" w:hAnsi="Consolas"/>
          <w:sz w:val="22"/>
          <w:szCs w:val="22"/>
        </w:rPr>
        <w:t>graphs</w:t>
      </w:r>
      <w:r w:rsidRPr="00896A22">
        <w:t>.</w:t>
      </w:r>
    </w:p>
    <w:p w14:paraId="428E8FEE" w14:textId="1A105C2E" w:rsidR="007372B5" w:rsidRPr="00E13612" w:rsidRDefault="007372B5" w:rsidP="00896A22">
      <w:pPr>
        <w:numPr>
          <w:ilvl w:val="1"/>
          <w:numId w:val="13"/>
        </w:numPr>
        <w:jc w:val="both"/>
      </w:pPr>
      <w:r w:rsidRPr="00E13612">
        <w:t xml:space="preserve">Run the R script </w:t>
      </w:r>
      <w:r w:rsidRPr="00E13612">
        <w:rPr>
          <w:rFonts w:ascii="Consolas" w:hAnsi="Consolas"/>
          <w:sz w:val="22"/>
          <w:szCs w:val="22"/>
        </w:rPr>
        <w:t>code/</w:t>
      </w:r>
      <w:r w:rsidR="003A181F">
        <w:rPr>
          <w:rFonts w:ascii="Consolas" w:hAnsi="Consolas"/>
          <w:sz w:val="22"/>
          <w:szCs w:val="22"/>
        </w:rPr>
        <w:t>analysis/</w:t>
      </w:r>
      <w:r w:rsidRPr="00E13612">
        <w:rPr>
          <w:rFonts w:ascii="Consolas" w:hAnsi="Consolas"/>
          <w:sz w:val="22"/>
          <w:szCs w:val="22"/>
        </w:rPr>
        <w:t>Plot_ETI_variation.R</w:t>
      </w:r>
      <w:r w:rsidRPr="00896A22">
        <w:t>.</w:t>
      </w:r>
      <w:r w:rsidR="00AE7E1A" w:rsidRPr="00896A22">
        <w:t xml:space="preserve"> See above for run times.</w:t>
      </w:r>
    </w:p>
    <w:p w14:paraId="5589B36B" w14:textId="46F236EC" w:rsidR="00465D0E" w:rsidRPr="00573574" w:rsidRDefault="00263E91" w:rsidP="00DB20D7">
      <w:pPr>
        <w:pStyle w:val="Heading2"/>
        <w:jc w:val="both"/>
        <w:rPr>
          <w:rFonts w:ascii="Times New Roman" w:hAnsi="Times New Roman" w:cs="Times New Roman"/>
          <w:color w:val="000000" w:themeColor="text1"/>
          <w:sz w:val="24"/>
          <w:szCs w:val="24"/>
        </w:rPr>
      </w:pPr>
      <w:bookmarkStart w:id="6" w:name="list-of-tables-and-programs"/>
      <w:r>
        <w:rPr>
          <w:rFonts w:ascii="Times New Roman" w:hAnsi="Times New Roman" w:cs="Times New Roman"/>
          <w:color w:val="000000" w:themeColor="text1"/>
          <w:sz w:val="24"/>
          <w:szCs w:val="24"/>
        </w:rPr>
        <w:lastRenderedPageBreak/>
        <w:t>List of Scripts</w:t>
      </w:r>
      <w:r w:rsidR="00A03FE1">
        <w:rPr>
          <w:rFonts w:ascii="Times New Roman" w:hAnsi="Times New Roman" w:cs="Times New Roman"/>
          <w:color w:val="000000" w:themeColor="text1"/>
          <w:sz w:val="24"/>
          <w:szCs w:val="24"/>
        </w:rPr>
        <w:t>, Figures, and Tables</w:t>
      </w:r>
      <w:bookmarkEnd w:id="6"/>
    </w:p>
    <w:p w14:paraId="2095D8D7" w14:textId="118D303C" w:rsidR="009E1522" w:rsidRPr="00573574" w:rsidRDefault="00F1449E" w:rsidP="00896A22">
      <w:pPr>
        <w:pStyle w:val="FirstParagraph"/>
        <w:jc w:val="both"/>
      </w:pPr>
      <w:r w:rsidRPr="00573574">
        <w:rPr>
          <w:rFonts w:ascii="Times New Roman" w:hAnsi="Times New Roman" w:cs="Times New Roman"/>
        </w:rPr>
        <w:t>The provided code reproduces</w:t>
      </w:r>
      <w:r w:rsidR="00F90B8A" w:rsidRPr="00573574">
        <w:rPr>
          <w:rFonts w:ascii="Times New Roman" w:hAnsi="Times New Roman" w:cs="Times New Roman"/>
        </w:rPr>
        <w:t xml:space="preserve"> all </w:t>
      </w:r>
      <w:r w:rsidR="009E1522">
        <w:rPr>
          <w:rFonts w:ascii="Times New Roman" w:hAnsi="Times New Roman" w:cs="Times New Roman"/>
        </w:rPr>
        <w:t>statistics</w:t>
      </w:r>
      <w:r w:rsidR="00E9075B">
        <w:rPr>
          <w:rFonts w:ascii="Times New Roman" w:hAnsi="Times New Roman" w:cs="Times New Roman"/>
        </w:rPr>
        <w:t xml:space="preserve">, </w:t>
      </w:r>
      <w:r w:rsidR="00F90B8A" w:rsidRPr="00573574">
        <w:rPr>
          <w:rFonts w:ascii="Times New Roman" w:hAnsi="Times New Roman" w:cs="Times New Roman"/>
        </w:rPr>
        <w:t>figures</w:t>
      </w:r>
      <w:r w:rsidR="00E9075B">
        <w:rPr>
          <w:rFonts w:ascii="Times New Roman" w:hAnsi="Times New Roman" w:cs="Times New Roman"/>
        </w:rPr>
        <w:t>,</w:t>
      </w:r>
      <w:r w:rsidR="00F90B8A" w:rsidRPr="00573574">
        <w:rPr>
          <w:rFonts w:ascii="Times New Roman" w:hAnsi="Times New Roman" w:cs="Times New Roman"/>
        </w:rPr>
        <w:t xml:space="preserve"> and tables in the paper (upon access to the restricted data).</w:t>
      </w:r>
      <w:r w:rsidR="00672194">
        <w:rPr>
          <w:rFonts w:ascii="Times New Roman" w:hAnsi="Times New Roman" w:cs="Times New Roman"/>
        </w:rPr>
        <w:t xml:space="preserve"> </w:t>
      </w:r>
      <w:r w:rsidR="009E1522" w:rsidRPr="00F408C2">
        <w:rPr>
          <w:rFonts w:ascii="Times New Roman" w:hAnsi="Times New Roman" w:cs="Times New Roman"/>
        </w:rPr>
        <w:t>See</w:t>
      </w:r>
      <w:r w:rsidR="009E1522">
        <w:t xml:space="preserve"> </w:t>
      </w:r>
      <w:r w:rsidR="002D108F" w:rsidRPr="002D108F">
        <w:rPr>
          <w:rFonts w:ascii="Consolas" w:hAnsi="Consolas"/>
          <w:sz w:val="22"/>
          <w:szCs w:val="22"/>
        </w:rPr>
        <w:t>0_1_Compiled_tables_and_materials_list</w:t>
      </w:r>
      <w:r w:rsidR="009E1522">
        <w:rPr>
          <w:rFonts w:ascii="Consolas" w:hAnsi="Consolas"/>
          <w:sz w:val="22"/>
          <w:szCs w:val="22"/>
        </w:rPr>
        <w:t>.xlsx</w:t>
      </w:r>
      <w:r w:rsidR="009E1522" w:rsidRPr="00896A22">
        <w:rPr>
          <w:rFonts w:ascii="Times New Roman" w:hAnsi="Times New Roman" w:cs="Times New Roman"/>
        </w:rPr>
        <w:t>, sheet</w:t>
      </w:r>
      <w:r w:rsidR="00672194" w:rsidRPr="00896A22">
        <w:rPr>
          <w:rFonts w:ascii="Times New Roman" w:hAnsi="Times New Roman" w:cs="Times New Roman"/>
        </w:rPr>
        <w:t>s</w:t>
      </w:r>
      <w:r w:rsidR="009E1522" w:rsidRPr="00896A22">
        <w:rPr>
          <w:rFonts w:ascii="Times New Roman" w:hAnsi="Times New Roman" w:cs="Times New Roman"/>
        </w:rPr>
        <w:t xml:space="preserve"> “</w:t>
      </w:r>
      <w:r w:rsidR="002D108F" w:rsidRPr="00896A22">
        <w:rPr>
          <w:rFonts w:ascii="Times New Roman" w:hAnsi="Times New Roman" w:cs="Times New Roman"/>
        </w:rPr>
        <w:t>List of Tables”</w:t>
      </w:r>
      <w:r w:rsidR="00672194" w:rsidRPr="00896A22">
        <w:rPr>
          <w:rFonts w:ascii="Times New Roman" w:hAnsi="Times New Roman" w:cs="Times New Roman"/>
        </w:rPr>
        <w:t>, “</w:t>
      </w:r>
      <w:r w:rsidR="00263E91">
        <w:rPr>
          <w:rFonts w:ascii="Times New Roman" w:hAnsi="Times New Roman" w:cs="Times New Roman"/>
        </w:rPr>
        <w:t>List of Scripts</w:t>
      </w:r>
      <w:r w:rsidR="00672194" w:rsidRPr="00896A22">
        <w:rPr>
          <w:rFonts w:ascii="Times New Roman" w:hAnsi="Times New Roman" w:cs="Times New Roman"/>
        </w:rPr>
        <w:t>”, and “</w:t>
      </w:r>
      <w:r w:rsidR="00263E91">
        <w:rPr>
          <w:rFonts w:ascii="Times New Roman" w:hAnsi="Times New Roman" w:cs="Times New Roman"/>
        </w:rPr>
        <w:t>List of Figures</w:t>
      </w:r>
      <w:r w:rsidR="00672194" w:rsidRPr="00896A22">
        <w:rPr>
          <w:rFonts w:ascii="Times New Roman" w:hAnsi="Times New Roman" w:cs="Times New Roman"/>
        </w:rPr>
        <w:t xml:space="preserve">” for the comprehensive list of </w:t>
      </w:r>
      <w:r w:rsidR="00F122F7">
        <w:rPr>
          <w:rFonts w:ascii="Times New Roman" w:hAnsi="Times New Roman" w:cs="Times New Roman"/>
        </w:rPr>
        <w:t>these</w:t>
      </w:r>
      <w:r w:rsidR="00672194" w:rsidRPr="00896A22">
        <w:rPr>
          <w:rFonts w:ascii="Times New Roman" w:hAnsi="Times New Roman" w:cs="Times New Roman"/>
        </w:rPr>
        <w:t xml:space="preserve"> materials, along with descriptions.</w:t>
      </w:r>
    </w:p>
    <w:p w14:paraId="2FAC6861" w14:textId="77777777" w:rsidR="00214CA1" w:rsidRDefault="00214CA1" w:rsidP="00DB20D7">
      <w:pPr>
        <w:pStyle w:val="BodyText"/>
        <w:rPr>
          <w:rFonts w:ascii="Times New Roman" w:hAnsi="Times New Roman" w:cs="Times New Roman"/>
        </w:rPr>
      </w:pPr>
    </w:p>
    <w:p w14:paraId="042D1487" w14:textId="77777777" w:rsidR="00214CA1" w:rsidRPr="00A546D8" w:rsidRDefault="00214CA1" w:rsidP="00214CA1">
      <w:pPr>
        <w:autoSpaceDE w:val="0"/>
        <w:autoSpaceDN w:val="0"/>
        <w:adjustRightInd w:val="0"/>
        <w:rPr>
          <w:b/>
          <w:bCs/>
          <w:sz w:val="28"/>
        </w:rPr>
      </w:pPr>
      <w:r>
        <w:rPr>
          <w:b/>
          <w:bCs/>
          <w:sz w:val="28"/>
        </w:rPr>
        <w:t>3</w:t>
      </w:r>
      <w:r w:rsidRPr="00A546D8">
        <w:rPr>
          <w:b/>
          <w:bCs/>
          <w:sz w:val="28"/>
        </w:rPr>
        <w:t>. Re</w:t>
      </w:r>
      <w:r>
        <w:rPr>
          <w:b/>
          <w:bCs/>
          <w:sz w:val="28"/>
        </w:rPr>
        <w:t>ferences</w:t>
      </w:r>
    </w:p>
    <w:p w14:paraId="746C0468" w14:textId="77777777" w:rsidR="007151FC" w:rsidRDefault="007151FC" w:rsidP="007151FC"/>
    <w:p w14:paraId="3B3AB688" w14:textId="1ACD35C0" w:rsidR="007151FC" w:rsidRDefault="001C62AF" w:rsidP="007151FC">
      <w:r>
        <w:t>DGT</w:t>
      </w:r>
      <w:r w:rsidR="007151FC" w:rsidRPr="00896A22">
        <w:t xml:space="preserve">, </w:t>
      </w:r>
      <w:r w:rsidR="007151FC">
        <w:t>2016</w:t>
      </w:r>
      <w:r w:rsidR="007151FC" w:rsidRPr="00896A22">
        <w:t xml:space="preserve">. “Anonymized </w:t>
      </w:r>
      <w:r w:rsidR="00370DA7">
        <w:t>SIKKA</w:t>
      </w:r>
      <w:r w:rsidR="007151FC" w:rsidRPr="00896A22">
        <w:t xml:space="preserve"> </w:t>
      </w:r>
      <w:r w:rsidR="00370DA7">
        <w:t>datasets</w:t>
      </w:r>
      <w:r w:rsidR="007151FC" w:rsidRPr="00896A22">
        <w:t xml:space="preserve">”. </w:t>
      </w:r>
      <w:r w:rsidR="001E043C">
        <w:t>Received</w:t>
      </w:r>
      <w:r w:rsidR="007151FC">
        <w:t xml:space="preserve"> October 2016.</w:t>
      </w:r>
    </w:p>
    <w:p w14:paraId="427D3C01" w14:textId="77777777" w:rsidR="008C4CB1" w:rsidRDefault="008C4CB1" w:rsidP="007151FC"/>
    <w:p w14:paraId="3F6FEB58" w14:textId="3B1669CE" w:rsidR="003A35E2" w:rsidRDefault="001C62AF" w:rsidP="003A35E2">
      <w:r>
        <w:t>DGT</w:t>
      </w:r>
      <w:r w:rsidR="00C54AA5">
        <w:t>,</w:t>
      </w:r>
      <w:r w:rsidR="003A35E2" w:rsidRPr="007464B6">
        <w:t xml:space="preserve"> </w:t>
      </w:r>
      <w:r w:rsidR="003A35E2">
        <w:t>2017a</w:t>
      </w:r>
      <w:r w:rsidR="003A35E2" w:rsidRPr="007464B6">
        <w:t xml:space="preserve">. “Anonymized </w:t>
      </w:r>
      <w:r w:rsidR="003A35E2">
        <w:t>form SPT 1771</w:t>
      </w:r>
      <w:r w:rsidR="00FF6F36">
        <w:t xml:space="preserve"> dataset</w:t>
      </w:r>
      <w:r w:rsidR="003A35E2" w:rsidRPr="007464B6">
        <w:t xml:space="preserve">”. </w:t>
      </w:r>
      <w:r w:rsidR="003A35E2">
        <w:t>Received April 2017.</w:t>
      </w:r>
    </w:p>
    <w:p w14:paraId="47825A30" w14:textId="77777777" w:rsidR="008C4CB1" w:rsidRDefault="008C4CB1" w:rsidP="003A35E2"/>
    <w:p w14:paraId="6AA479F8" w14:textId="4053320D" w:rsidR="003A35E2" w:rsidRDefault="001C62AF" w:rsidP="003A35E2">
      <w:r>
        <w:t>DGT</w:t>
      </w:r>
      <w:r w:rsidR="003A35E2" w:rsidRPr="007464B6">
        <w:t xml:space="preserve">, </w:t>
      </w:r>
      <w:r w:rsidR="003A35E2">
        <w:t>2017b</w:t>
      </w:r>
      <w:r w:rsidR="003A35E2" w:rsidRPr="007464B6">
        <w:t xml:space="preserve">. “Anonymized </w:t>
      </w:r>
      <w:r w:rsidR="00F756B2">
        <w:t xml:space="preserve">aggregated </w:t>
      </w:r>
      <w:r w:rsidR="003A35E2">
        <w:t xml:space="preserve">MPN </w:t>
      </w:r>
      <w:r w:rsidR="00F756B2">
        <w:t>dataset</w:t>
      </w:r>
      <w:r w:rsidR="003A35E2" w:rsidRPr="007464B6">
        <w:t xml:space="preserve">”. </w:t>
      </w:r>
      <w:r w:rsidR="003A35E2">
        <w:t xml:space="preserve">Received </w:t>
      </w:r>
      <w:r w:rsidR="006F2363">
        <w:t>May</w:t>
      </w:r>
      <w:r w:rsidR="003A35E2">
        <w:t xml:space="preserve"> 2017.</w:t>
      </w:r>
    </w:p>
    <w:p w14:paraId="725363E5" w14:textId="77777777" w:rsidR="008C4CB1" w:rsidRDefault="008C4CB1" w:rsidP="003A35E2"/>
    <w:p w14:paraId="4ED38DB0" w14:textId="5DECB9A3" w:rsidR="002D07D7" w:rsidRDefault="001C62AF" w:rsidP="008A3389">
      <w:r>
        <w:t>DGT</w:t>
      </w:r>
      <w:r w:rsidRPr="007464B6" w:rsidDel="001C62AF">
        <w:t xml:space="preserve"> </w:t>
      </w:r>
      <w:r w:rsidR="008A3389" w:rsidRPr="007464B6">
        <w:t xml:space="preserve">, </w:t>
      </w:r>
      <w:r w:rsidR="008A3389">
        <w:t>2018a</w:t>
      </w:r>
      <w:r w:rsidR="008A3389" w:rsidRPr="007464B6">
        <w:t xml:space="preserve">. “Anonymized </w:t>
      </w:r>
      <w:r w:rsidR="008A3389">
        <w:t>detailed MPN dataset</w:t>
      </w:r>
      <w:r w:rsidR="008A3389" w:rsidRPr="007464B6">
        <w:t xml:space="preserve">”. </w:t>
      </w:r>
      <w:r w:rsidR="008A3389">
        <w:t>Received March 2018.</w:t>
      </w:r>
    </w:p>
    <w:p w14:paraId="2F023D8C" w14:textId="77777777" w:rsidR="008C4CB1" w:rsidRDefault="008C4CB1" w:rsidP="008A3389"/>
    <w:p w14:paraId="6B5C5E31" w14:textId="39B7D7C8" w:rsidR="002D07D7" w:rsidRDefault="001C62AF" w:rsidP="002D07D7">
      <w:r>
        <w:t>DGT</w:t>
      </w:r>
      <w:r w:rsidR="002D07D7" w:rsidRPr="007464B6">
        <w:t xml:space="preserve">, </w:t>
      </w:r>
      <w:r w:rsidR="002D07D7">
        <w:t>2018b</w:t>
      </w:r>
      <w:r w:rsidR="002D07D7" w:rsidRPr="007464B6">
        <w:t xml:space="preserve">. “Anonymized </w:t>
      </w:r>
      <w:r w:rsidR="002D07D7">
        <w:t>form SPT 1721 datasets</w:t>
      </w:r>
      <w:r w:rsidR="002D07D7" w:rsidRPr="007464B6">
        <w:t xml:space="preserve">”. </w:t>
      </w:r>
      <w:r w:rsidR="002D07D7">
        <w:t>Received March</w:t>
      </w:r>
      <w:r w:rsidR="00EE2867">
        <w:t>-May</w:t>
      </w:r>
      <w:r w:rsidR="002D07D7">
        <w:t xml:space="preserve"> 2018.</w:t>
      </w:r>
    </w:p>
    <w:p w14:paraId="398915D4" w14:textId="77777777" w:rsidR="008C4CB1" w:rsidRDefault="008C4CB1" w:rsidP="008F4C7C"/>
    <w:p w14:paraId="588E84F9" w14:textId="027FFA41" w:rsidR="00D451F0" w:rsidRDefault="001C62AF" w:rsidP="008F4C7C">
      <w:r>
        <w:t>DGT</w:t>
      </w:r>
      <w:r w:rsidR="008F4C7C" w:rsidRPr="007464B6">
        <w:t xml:space="preserve">, </w:t>
      </w:r>
      <w:r w:rsidR="008F4C7C">
        <w:t>2018</w:t>
      </w:r>
      <w:r w:rsidR="00EE2867">
        <w:t>c</w:t>
      </w:r>
      <w:r w:rsidR="008F4C7C" w:rsidRPr="007464B6">
        <w:t>. “Anonymized</w:t>
      </w:r>
      <w:r w:rsidR="008F4C7C">
        <w:t xml:space="preserve"> tax audit dataset</w:t>
      </w:r>
      <w:r w:rsidR="008F4C7C" w:rsidRPr="007464B6">
        <w:t xml:space="preserve">”. </w:t>
      </w:r>
      <w:r w:rsidR="008F4C7C">
        <w:t>Received June 2018.</w:t>
      </w:r>
    </w:p>
    <w:p w14:paraId="26D3FC67" w14:textId="77777777" w:rsidR="008C4CB1" w:rsidRDefault="008C4CB1" w:rsidP="008F4C7C"/>
    <w:p w14:paraId="6AB333E1" w14:textId="286BA900" w:rsidR="00E54F1E" w:rsidRDefault="001C62AF" w:rsidP="00D451F0">
      <w:r>
        <w:t>DGT</w:t>
      </w:r>
      <w:r w:rsidRPr="007464B6" w:rsidDel="001C62AF">
        <w:t xml:space="preserve"> </w:t>
      </w:r>
      <w:r w:rsidR="00D451F0" w:rsidRPr="007464B6">
        <w:t xml:space="preserve">, </w:t>
      </w:r>
      <w:r w:rsidR="00D451F0">
        <w:t>2018</w:t>
      </w:r>
      <w:r w:rsidR="00EE2867">
        <w:t>d</w:t>
      </w:r>
      <w:r w:rsidR="00D451F0" w:rsidRPr="007464B6">
        <w:t>. “Anonymized</w:t>
      </w:r>
      <w:r w:rsidR="00D451F0">
        <w:t xml:space="preserve"> tax assessments dataset</w:t>
      </w:r>
      <w:r w:rsidR="004465C1">
        <w:t>s</w:t>
      </w:r>
      <w:r w:rsidR="00D451F0" w:rsidRPr="007464B6">
        <w:t xml:space="preserve">”. </w:t>
      </w:r>
      <w:r w:rsidR="00D451F0">
        <w:t xml:space="preserve">Received </w:t>
      </w:r>
      <w:r w:rsidR="00212B64">
        <w:t xml:space="preserve">November </w:t>
      </w:r>
      <w:r w:rsidR="00D451F0">
        <w:t>2018.</w:t>
      </w:r>
    </w:p>
    <w:p w14:paraId="1EE12772" w14:textId="77777777" w:rsidR="00EE2867" w:rsidRDefault="00EE2867" w:rsidP="00D451F0"/>
    <w:p w14:paraId="613A8EB5" w14:textId="453F219E" w:rsidR="000000F1" w:rsidRPr="00573574" w:rsidRDefault="00E54F1E" w:rsidP="0095594C">
      <w:r w:rsidRPr="00E54F1E">
        <w:t>Organization for Economic Co-operation and Development</w:t>
      </w:r>
      <w:r w:rsidR="00565E6B">
        <w:t>, 2018</w:t>
      </w:r>
      <w:r w:rsidR="0035158E">
        <w:t xml:space="preserve">. </w:t>
      </w:r>
      <w:r w:rsidRPr="00E54F1E">
        <w:t xml:space="preserve">GDP Implicit Price Deflator in Indonesia [IDNGDPDEFAISMEI], retrieved from FRED, Federal Reserve Bank of St. Louis; https://fred.stlouisfed.org/series/IDNGDPDEFAISMEI, </w:t>
      </w:r>
      <w:r w:rsidR="003579C5">
        <w:t>November 27, 2018.</w:t>
      </w:r>
    </w:p>
    <w:sectPr w:rsidR="000000F1" w:rsidRPr="00573574">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F6244" w14:textId="77777777" w:rsidR="00F25D24" w:rsidRDefault="00F25D24">
      <w:r>
        <w:separator/>
      </w:r>
    </w:p>
  </w:endnote>
  <w:endnote w:type="continuationSeparator" w:id="0">
    <w:p w14:paraId="62C1CA64" w14:textId="77777777" w:rsidR="00F25D24" w:rsidRDefault="00F2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917680"/>
      <w:docPartObj>
        <w:docPartGallery w:val="Page Numbers (Bottom of Page)"/>
        <w:docPartUnique/>
      </w:docPartObj>
    </w:sdtPr>
    <w:sdtEndPr>
      <w:rPr>
        <w:noProof/>
      </w:rPr>
    </w:sdtEndPr>
    <w:sdtContent>
      <w:p w14:paraId="54749BD3" w14:textId="77777777" w:rsidR="00EE781B" w:rsidRDefault="00EE781B">
        <w:pPr>
          <w:pStyle w:val="Footer"/>
          <w:jc w:val="center"/>
        </w:pPr>
        <w:r>
          <w:fldChar w:fldCharType="begin"/>
        </w:r>
        <w:r>
          <w:instrText xml:space="preserve"> PAGE   \* MERGEFORMAT </w:instrText>
        </w:r>
        <w:r>
          <w:fldChar w:fldCharType="separate"/>
        </w:r>
        <w:r w:rsidR="00204CA6">
          <w:rPr>
            <w:noProof/>
          </w:rPr>
          <w:t>6</w:t>
        </w:r>
        <w:r>
          <w:rPr>
            <w:noProof/>
          </w:rPr>
          <w:fldChar w:fldCharType="end"/>
        </w:r>
      </w:p>
    </w:sdtContent>
  </w:sdt>
  <w:p w14:paraId="188AD881" w14:textId="77777777" w:rsidR="00EE781B" w:rsidRDefault="00EE7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BB844" w14:textId="77777777" w:rsidR="00F25D24" w:rsidRDefault="00F25D24">
      <w:r>
        <w:separator/>
      </w:r>
    </w:p>
  </w:footnote>
  <w:footnote w:type="continuationSeparator" w:id="0">
    <w:p w14:paraId="630827BD" w14:textId="77777777" w:rsidR="00F25D24" w:rsidRDefault="00F25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B3EE32B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7547DA7"/>
    <w:multiLevelType w:val="hybridMultilevel"/>
    <w:tmpl w:val="77FC9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AE401"/>
    <w:multiLevelType w:val="multilevel"/>
    <w:tmpl w:val="CBFC1C8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 w15:restartNumberingAfterBreak="0">
    <w:nsid w:val="30D771E3"/>
    <w:multiLevelType w:val="hybridMultilevel"/>
    <w:tmpl w:val="CDFE2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6E7CBF"/>
    <w:multiLevelType w:val="hybridMultilevel"/>
    <w:tmpl w:val="49301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DB720F"/>
    <w:multiLevelType w:val="hybridMultilevel"/>
    <w:tmpl w:val="DE96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3"/>
  </w:num>
  <w:num w:numId="22">
    <w:abstractNumId w:val="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000F1"/>
    <w:rsid w:val="000005AE"/>
    <w:rsid w:val="00007010"/>
    <w:rsid w:val="00011265"/>
    <w:rsid w:val="00011C8B"/>
    <w:rsid w:val="00013762"/>
    <w:rsid w:val="00013E04"/>
    <w:rsid w:val="00032C96"/>
    <w:rsid w:val="00040FB6"/>
    <w:rsid w:val="0004288A"/>
    <w:rsid w:val="00043B16"/>
    <w:rsid w:val="00053E9B"/>
    <w:rsid w:val="00056234"/>
    <w:rsid w:val="00056CF8"/>
    <w:rsid w:val="000650EE"/>
    <w:rsid w:val="0008356F"/>
    <w:rsid w:val="0008753A"/>
    <w:rsid w:val="00090F9C"/>
    <w:rsid w:val="000A3739"/>
    <w:rsid w:val="000A7299"/>
    <w:rsid w:val="000A7A78"/>
    <w:rsid w:val="000B3972"/>
    <w:rsid w:val="000B644F"/>
    <w:rsid w:val="000C24C1"/>
    <w:rsid w:val="000C3E6E"/>
    <w:rsid w:val="000C4CFE"/>
    <w:rsid w:val="000D10B8"/>
    <w:rsid w:val="000D3DF5"/>
    <w:rsid w:val="000E16DB"/>
    <w:rsid w:val="000F742F"/>
    <w:rsid w:val="00107B66"/>
    <w:rsid w:val="00113BFA"/>
    <w:rsid w:val="001144E3"/>
    <w:rsid w:val="001310E5"/>
    <w:rsid w:val="00133866"/>
    <w:rsid w:val="001340E4"/>
    <w:rsid w:val="0013711E"/>
    <w:rsid w:val="001409F2"/>
    <w:rsid w:val="00144F3C"/>
    <w:rsid w:val="0014583F"/>
    <w:rsid w:val="0015212A"/>
    <w:rsid w:val="00156AAF"/>
    <w:rsid w:val="001703A1"/>
    <w:rsid w:val="00171284"/>
    <w:rsid w:val="00173A47"/>
    <w:rsid w:val="00173B56"/>
    <w:rsid w:val="00174082"/>
    <w:rsid w:val="001833B6"/>
    <w:rsid w:val="00183BF9"/>
    <w:rsid w:val="001857AD"/>
    <w:rsid w:val="00185935"/>
    <w:rsid w:val="00194657"/>
    <w:rsid w:val="001A028B"/>
    <w:rsid w:val="001B0365"/>
    <w:rsid w:val="001B1986"/>
    <w:rsid w:val="001B4BB2"/>
    <w:rsid w:val="001B77B4"/>
    <w:rsid w:val="001C0A81"/>
    <w:rsid w:val="001C62AF"/>
    <w:rsid w:val="001C68A1"/>
    <w:rsid w:val="001C6E75"/>
    <w:rsid w:val="001D23C1"/>
    <w:rsid w:val="001E043C"/>
    <w:rsid w:val="001E3E52"/>
    <w:rsid w:val="001E7580"/>
    <w:rsid w:val="001F073C"/>
    <w:rsid w:val="001F0DC0"/>
    <w:rsid w:val="002013D2"/>
    <w:rsid w:val="00204CA6"/>
    <w:rsid w:val="00205563"/>
    <w:rsid w:val="002072AD"/>
    <w:rsid w:val="002074BE"/>
    <w:rsid w:val="0021288E"/>
    <w:rsid w:val="00212B64"/>
    <w:rsid w:val="00214ADD"/>
    <w:rsid w:val="00214CA1"/>
    <w:rsid w:val="0021597C"/>
    <w:rsid w:val="00216D24"/>
    <w:rsid w:val="002178E7"/>
    <w:rsid w:val="00221A1C"/>
    <w:rsid w:val="00223A4B"/>
    <w:rsid w:val="00227086"/>
    <w:rsid w:val="00234E2A"/>
    <w:rsid w:val="002352C5"/>
    <w:rsid w:val="002423C5"/>
    <w:rsid w:val="00244FDE"/>
    <w:rsid w:val="00251DF1"/>
    <w:rsid w:val="00254B4A"/>
    <w:rsid w:val="00255174"/>
    <w:rsid w:val="00262071"/>
    <w:rsid w:val="00263E91"/>
    <w:rsid w:val="0027146C"/>
    <w:rsid w:val="00280029"/>
    <w:rsid w:val="00282466"/>
    <w:rsid w:val="00291E4D"/>
    <w:rsid w:val="00291EB7"/>
    <w:rsid w:val="002929DD"/>
    <w:rsid w:val="00295A22"/>
    <w:rsid w:val="00296005"/>
    <w:rsid w:val="002A03A0"/>
    <w:rsid w:val="002A2AB2"/>
    <w:rsid w:val="002C0888"/>
    <w:rsid w:val="002C34EC"/>
    <w:rsid w:val="002D07D7"/>
    <w:rsid w:val="002D108F"/>
    <w:rsid w:val="002D29FD"/>
    <w:rsid w:val="002D4747"/>
    <w:rsid w:val="002D5346"/>
    <w:rsid w:val="002D71E1"/>
    <w:rsid w:val="002E07C6"/>
    <w:rsid w:val="002E75BD"/>
    <w:rsid w:val="002E7D67"/>
    <w:rsid w:val="002F08A4"/>
    <w:rsid w:val="002F2623"/>
    <w:rsid w:val="002F3DE4"/>
    <w:rsid w:val="002F4FC3"/>
    <w:rsid w:val="00302E0E"/>
    <w:rsid w:val="00304DEC"/>
    <w:rsid w:val="003124C3"/>
    <w:rsid w:val="003203C6"/>
    <w:rsid w:val="00322899"/>
    <w:rsid w:val="00323A0C"/>
    <w:rsid w:val="003315DB"/>
    <w:rsid w:val="00342E6E"/>
    <w:rsid w:val="00343FFB"/>
    <w:rsid w:val="00345D9B"/>
    <w:rsid w:val="0035121F"/>
    <w:rsid w:val="0035158E"/>
    <w:rsid w:val="003579C5"/>
    <w:rsid w:val="003606A6"/>
    <w:rsid w:val="00365B93"/>
    <w:rsid w:val="00366F5B"/>
    <w:rsid w:val="00370DA7"/>
    <w:rsid w:val="00373FF3"/>
    <w:rsid w:val="0037716A"/>
    <w:rsid w:val="003813FF"/>
    <w:rsid w:val="00382791"/>
    <w:rsid w:val="0038307E"/>
    <w:rsid w:val="0039206C"/>
    <w:rsid w:val="00392F67"/>
    <w:rsid w:val="0039371D"/>
    <w:rsid w:val="003979E7"/>
    <w:rsid w:val="003A181F"/>
    <w:rsid w:val="003A35E2"/>
    <w:rsid w:val="003B120F"/>
    <w:rsid w:val="003B56B5"/>
    <w:rsid w:val="003B6EB5"/>
    <w:rsid w:val="003C0E40"/>
    <w:rsid w:val="003C188B"/>
    <w:rsid w:val="003D061E"/>
    <w:rsid w:val="003D365D"/>
    <w:rsid w:val="003D49F1"/>
    <w:rsid w:val="003D6594"/>
    <w:rsid w:val="003E0204"/>
    <w:rsid w:val="003E3706"/>
    <w:rsid w:val="003E70EE"/>
    <w:rsid w:val="003F35A3"/>
    <w:rsid w:val="003F5D2D"/>
    <w:rsid w:val="004036A6"/>
    <w:rsid w:val="004072CF"/>
    <w:rsid w:val="00410EE2"/>
    <w:rsid w:val="00417692"/>
    <w:rsid w:val="00417CF8"/>
    <w:rsid w:val="0042040A"/>
    <w:rsid w:val="00421116"/>
    <w:rsid w:val="00422081"/>
    <w:rsid w:val="00427F64"/>
    <w:rsid w:val="00430873"/>
    <w:rsid w:val="00441621"/>
    <w:rsid w:val="00444ABD"/>
    <w:rsid w:val="00445F27"/>
    <w:rsid w:val="004465C1"/>
    <w:rsid w:val="00450557"/>
    <w:rsid w:val="00454769"/>
    <w:rsid w:val="00456A36"/>
    <w:rsid w:val="00456C23"/>
    <w:rsid w:val="0045736B"/>
    <w:rsid w:val="00464A7A"/>
    <w:rsid w:val="00465D0E"/>
    <w:rsid w:val="00475CB8"/>
    <w:rsid w:val="0047739B"/>
    <w:rsid w:val="0048558F"/>
    <w:rsid w:val="00495AB0"/>
    <w:rsid w:val="00496680"/>
    <w:rsid w:val="00496B28"/>
    <w:rsid w:val="004A619A"/>
    <w:rsid w:val="004B1819"/>
    <w:rsid w:val="004B2E42"/>
    <w:rsid w:val="004B5A4E"/>
    <w:rsid w:val="004B6BA4"/>
    <w:rsid w:val="004D29F4"/>
    <w:rsid w:val="004E289F"/>
    <w:rsid w:val="004E29B3"/>
    <w:rsid w:val="004E3392"/>
    <w:rsid w:val="004E3AFB"/>
    <w:rsid w:val="004E4B20"/>
    <w:rsid w:val="004F2610"/>
    <w:rsid w:val="004F795D"/>
    <w:rsid w:val="004F7C22"/>
    <w:rsid w:val="005071A6"/>
    <w:rsid w:val="00507D0D"/>
    <w:rsid w:val="00510C10"/>
    <w:rsid w:val="005147A0"/>
    <w:rsid w:val="005333A4"/>
    <w:rsid w:val="00533435"/>
    <w:rsid w:val="00540E68"/>
    <w:rsid w:val="005548C1"/>
    <w:rsid w:val="00565E6B"/>
    <w:rsid w:val="00573574"/>
    <w:rsid w:val="00580890"/>
    <w:rsid w:val="0058451E"/>
    <w:rsid w:val="00586413"/>
    <w:rsid w:val="00590D07"/>
    <w:rsid w:val="00592BC9"/>
    <w:rsid w:val="0059378E"/>
    <w:rsid w:val="00596F6B"/>
    <w:rsid w:val="005A0C00"/>
    <w:rsid w:val="005A0DB2"/>
    <w:rsid w:val="005B5960"/>
    <w:rsid w:val="005C54AD"/>
    <w:rsid w:val="005C76DD"/>
    <w:rsid w:val="005D322E"/>
    <w:rsid w:val="005D567C"/>
    <w:rsid w:val="005E23BF"/>
    <w:rsid w:val="005E3567"/>
    <w:rsid w:val="005E4BAB"/>
    <w:rsid w:val="005F4EBC"/>
    <w:rsid w:val="005F7F32"/>
    <w:rsid w:val="00604DB2"/>
    <w:rsid w:val="0060656C"/>
    <w:rsid w:val="00607A09"/>
    <w:rsid w:val="00607CB0"/>
    <w:rsid w:val="00615459"/>
    <w:rsid w:val="0062339B"/>
    <w:rsid w:val="00626449"/>
    <w:rsid w:val="00626EAB"/>
    <w:rsid w:val="0063540C"/>
    <w:rsid w:val="00640DDB"/>
    <w:rsid w:val="00643C04"/>
    <w:rsid w:val="0065095F"/>
    <w:rsid w:val="00654358"/>
    <w:rsid w:val="0066152E"/>
    <w:rsid w:val="00662BD5"/>
    <w:rsid w:val="00664449"/>
    <w:rsid w:val="00672194"/>
    <w:rsid w:val="00674386"/>
    <w:rsid w:val="00680074"/>
    <w:rsid w:val="0069046C"/>
    <w:rsid w:val="0069518A"/>
    <w:rsid w:val="00695469"/>
    <w:rsid w:val="006967F4"/>
    <w:rsid w:val="006B5896"/>
    <w:rsid w:val="006C12C3"/>
    <w:rsid w:val="006C1946"/>
    <w:rsid w:val="006C57FF"/>
    <w:rsid w:val="006D005A"/>
    <w:rsid w:val="006D191F"/>
    <w:rsid w:val="006E3E9D"/>
    <w:rsid w:val="006E57BE"/>
    <w:rsid w:val="006E6E0E"/>
    <w:rsid w:val="006F0586"/>
    <w:rsid w:val="006F12E3"/>
    <w:rsid w:val="006F2363"/>
    <w:rsid w:val="006F2C9E"/>
    <w:rsid w:val="006F2DAD"/>
    <w:rsid w:val="006F606E"/>
    <w:rsid w:val="006F6D41"/>
    <w:rsid w:val="00701466"/>
    <w:rsid w:val="00703EDC"/>
    <w:rsid w:val="00711327"/>
    <w:rsid w:val="00711FCA"/>
    <w:rsid w:val="0071320B"/>
    <w:rsid w:val="007151FC"/>
    <w:rsid w:val="00722DDE"/>
    <w:rsid w:val="00730845"/>
    <w:rsid w:val="00736556"/>
    <w:rsid w:val="00736C53"/>
    <w:rsid w:val="007372B5"/>
    <w:rsid w:val="00742405"/>
    <w:rsid w:val="00742AE6"/>
    <w:rsid w:val="00760029"/>
    <w:rsid w:val="00761DF0"/>
    <w:rsid w:val="007640EB"/>
    <w:rsid w:val="00766DA1"/>
    <w:rsid w:val="00767FB5"/>
    <w:rsid w:val="00771E6F"/>
    <w:rsid w:val="00774835"/>
    <w:rsid w:val="00774B4B"/>
    <w:rsid w:val="00774C7C"/>
    <w:rsid w:val="00784D58"/>
    <w:rsid w:val="00796787"/>
    <w:rsid w:val="007A0E21"/>
    <w:rsid w:val="007A5552"/>
    <w:rsid w:val="007A6207"/>
    <w:rsid w:val="007A6B82"/>
    <w:rsid w:val="007C4721"/>
    <w:rsid w:val="007C5985"/>
    <w:rsid w:val="007C71D3"/>
    <w:rsid w:val="007C77B8"/>
    <w:rsid w:val="007D322E"/>
    <w:rsid w:val="007D430E"/>
    <w:rsid w:val="007E0D24"/>
    <w:rsid w:val="007E3EFF"/>
    <w:rsid w:val="007E4105"/>
    <w:rsid w:val="008004CE"/>
    <w:rsid w:val="008157CF"/>
    <w:rsid w:val="008165A8"/>
    <w:rsid w:val="00817FCF"/>
    <w:rsid w:val="008200FA"/>
    <w:rsid w:val="00840527"/>
    <w:rsid w:val="008449CC"/>
    <w:rsid w:val="00845B96"/>
    <w:rsid w:val="0085096C"/>
    <w:rsid w:val="008647B7"/>
    <w:rsid w:val="00873E2E"/>
    <w:rsid w:val="00877F94"/>
    <w:rsid w:val="00881ECE"/>
    <w:rsid w:val="008859CA"/>
    <w:rsid w:val="00886264"/>
    <w:rsid w:val="00886EBB"/>
    <w:rsid w:val="0088739E"/>
    <w:rsid w:val="008902E1"/>
    <w:rsid w:val="00891BBC"/>
    <w:rsid w:val="00892BA2"/>
    <w:rsid w:val="008933FF"/>
    <w:rsid w:val="008944EF"/>
    <w:rsid w:val="00896A22"/>
    <w:rsid w:val="008A20B0"/>
    <w:rsid w:val="008A26CB"/>
    <w:rsid w:val="008A3389"/>
    <w:rsid w:val="008A492E"/>
    <w:rsid w:val="008A5D02"/>
    <w:rsid w:val="008A71AA"/>
    <w:rsid w:val="008B37E4"/>
    <w:rsid w:val="008B41B1"/>
    <w:rsid w:val="008C08BA"/>
    <w:rsid w:val="008C2013"/>
    <w:rsid w:val="008C296D"/>
    <w:rsid w:val="008C4CB1"/>
    <w:rsid w:val="008C6C0F"/>
    <w:rsid w:val="008D0677"/>
    <w:rsid w:val="008D0E3A"/>
    <w:rsid w:val="008D142A"/>
    <w:rsid w:val="008D4DD8"/>
    <w:rsid w:val="008D4EDF"/>
    <w:rsid w:val="008D6863"/>
    <w:rsid w:val="008D7B38"/>
    <w:rsid w:val="008F0756"/>
    <w:rsid w:val="008F17BB"/>
    <w:rsid w:val="008F3BE4"/>
    <w:rsid w:val="008F4C7C"/>
    <w:rsid w:val="008F5225"/>
    <w:rsid w:val="008F5AEC"/>
    <w:rsid w:val="008F7E79"/>
    <w:rsid w:val="00906903"/>
    <w:rsid w:val="00906F72"/>
    <w:rsid w:val="009078B0"/>
    <w:rsid w:val="00914B8F"/>
    <w:rsid w:val="00915509"/>
    <w:rsid w:val="00915959"/>
    <w:rsid w:val="0091703E"/>
    <w:rsid w:val="009278E4"/>
    <w:rsid w:val="009302C6"/>
    <w:rsid w:val="009319F4"/>
    <w:rsid w:val="00936DF1"/>
    <w:rsid w:val="00953362"/>
    <w:rsid w:val="0095594C"/>
    <w:rsid w:val="00955CD3"/>
    <w:rsid w:val="00961F8B"/>
    <w:rsid w:val="009730BA"/>
    <w:rsid w:val="00973336"/>
    <w:rsid w:val="00982744"/>
    <w:rsid w:val="00983A48"/>
    <w:rsid w:val="009840E0"/>
    <w:rsid w:val="00991F09"/>
    <w:rsid w:val="00995D23"/>
    <w:rsid w:val="009A07FC"/>
    <w:rsid w:val="009B28B0"/>
    <w:rsid w:val="009B6366"/>
    <w:rsid w:val="009C1E1C"/>
    <w:rsid w:val="009C6F53"/>
    <w:rsid w:val="009D5B08"/>
    <w:rsid w:val="009D7075"/>
    <w:rsid w:val="009E1522"/>
    <w:rsid w:val="009E515C"/>
    <w:rsid w:val="00A03FE1"/>
    <w:rsid w:val="00A05FD3"/>
    <w:rsid w:val="00A074FC"/>
    <w:rsid w:val="00A1009C"/>
    <w:rsid w:val="00A10823"/>
    <w:rsid w:val="00A10F76"/>
    <w:rsid w:val="00A145B5"/>
    <w:rsid w:val="00A14B67"/>
    <w:rsid w:val="00A17724"/>
    <w:rsid w:val="00A239A5"/>
    <w:rsid w:val="00A279B2"/>
    <w:rsid w:val="00A30520"/>
    <w:rsid w:val="00A318A4"/>
    <w:rsid w:val="00A353AC"/>
    <w:rsid w:val="00A41CF7"/>
    <w:rsid w:val="00A42D82"/>
    <w:rsid w:val="00A43D52"/>
    <w:rsid w:val="00A46A59"/>
    <w:rsid w:val="00A471BE"/>
    <w:rsid w:val="00A5392A"/>
    <w:rsid w:val="00A546D8"/>
    <w:rsid w:val="00A61EC0"/>
    <w:rsid w:val="00A81226"/>
    <w:rsid w:val="00A839C5"/>
    <w:rsid w:val="00A83AF4"/>
    <w:rsid w:val="00A8430B"/>
    <w:rsid w:val="00A85314"/>
    <w:rsid w:val="00A93EA3"/>
    <w:rsid w:val="00A94484"/>
    <w:rsid w:val="00A97FE0"/>
    <w:rsid w:val="00AA00AB"/>
    <w:rsid w:val="00AA5BC7"/>
    <w:rsid w:val="00AB20F4"/>
    <w:rsid w:val="00AB2CDB"/>
    <w:rsid w:val="00AB3D8C"/>
    <w:rsid w:val="00AB69A9"/>
    <w:rsid w:val="00AC222A"/>
    <w:rsid w:val="00AD1952"/>
    <w:rsid w:val="00AD48D4"/>
    <w:rsid w:val="00AD579F"/>
    <w:rsid w:val="00AD7169"/>
    <w:rsid w:val="00AE168E"/>
    <w:rsid w:val="00AE2CD7"/>
    <w:rsid w:val="00AE55D8"/>
    <w:rsid w:val="00AE61D9"/>
    <w:rsid w:val="00AE69C6"/>
    <w:rsid w:val="00AE7E1A"/>
    <w:rsid w:val="00AF2B10"/>
    <w:rsid w:val="00B04272"/>
    <w:rsid w:val="00B06393"/>
    <w:rsid w:val="00B072EE"/>
    <w:rsid w:val="00B216CB"/>
    <w:rsid w:val="00B224F3"/>
    <w:rsid w:val="00B3066B"/>
    <w:rsid w:val="00B319DC"/>
    <w:rsid w:val="00B34B8F"/>
    <w:rsid w:val="00B37D27"/>
    <w:rsid w:val="00B37F2B"/>
    <w:rsid w:val="00B41356"/>
    <w:rsid w:val="00B45739"/>
    <w:rsid w:val="00B5057B"/>
    <w:rsid w:val="00B56F14"/>
    <w:rsid w:val="00B63FDD"/>
    <w:rsid w:val="00B85D21"/>
    <w:rsid w:val="00B86B75"/>
    <w:rsid w:val="00B943DA"/>
    <w:rsid w:val="00B95A13"/>
    <w:rsid w:val="00BA2178"/>
    <w:rsid w:val="00BA21A6"/>
    <w:rsid w:val="00BA2EA5"/>
    <w:rsid w:val="00BB39D4"/>
    <w:rsid w:val="00BC2183"/>
    <w:rsid w:val="00BC467E"/>
    <w:rsid w:val="00BC48D5"/>
    <w:rsid w:val="00BD080C"/>
    <w:rsid w:val="00BD35DF"/>
    <w:rsid w:val="00BD3DE6"/>
    <w:rsid w:val="00BE03E3"/>
    <w:rsid w:val="00BE530B"/>
    <w:rsid w:val="00BF29EB"/>
    <w:rsid w:val="00BF4164"/>
    <w:rsid w:val="00BF545A"/>
    <w:rsid w:val="00C0027C"/>
    <w:rsid w:val="00C10DC0"/>
    <w:rsid w:val="00C10E8B"/>
    <w:rsid w:val="00C124FF"/>
    <w:rsid w:val="00C15AAE"/>
    <w:rsid w:val="00C20C92"/>
    <w:rsid w:val="00C25B16"/>
    <w:rsid w:val="00C30DE6"/>
    <w:rsid w:val="00C324D8"/>
    <w:rsid w:val="00C32D0E"/>
    <w:rsid w:val="00C34800"/>
    <w:rsid w:val="00C36279"/>
    <w:rsid w:val="00C36D36"/>
    <w:rsid w:val="00C40442"/>
    <w:rsid w:val="00C434FD"/>
    <w:rsid w:val="00C4724F"/>
    <w:rsid w:val="00C51821"/>
    <w:rsid w:val="00C51CBD"/>
    <w:rsid w:val="00C54AA5"/>
    <w:rsid w:val="00C66D52"/>
    <w:rsid w:val="00C73798"/>
    <w:rsid w:val="00C76D49"/>
    <w:rsid w:val="00C85BF5"/>
    <w:rsid w:val="00CA0695"/>
    <w:rsid w:val="00CA326E"/>
    <w:rsid w:val="00CA655E"/>
    <w:rsid w:val="00CB21ED"/>
    <w:rsid w:val="00CB2FD0"/>
    <w:rsid w:val="00CB3178"/>
    <w:rsid w:val="00CC3AC0"/>
    <w:rsid w:val="00CC6306"/>
    <w:rsid w:val="00CD0564"/>
    <w:rsid w:val="00CD142B"/>
    <w:rsid w:val="00CD1DB1"/>
    <w:rsid w:val="00CE0861"/>
    <w:rsid w:val="00CE28AD"/>
    <w:rsid w:val="00CF12B1"/>
    <w:rsid w:val="00CF244D"/>
    <w:rsid w:val="00CF2957"/>
    <w:rsid w:val="00CF438C"/>
    <w:rsid w:val="00CF5182"/>
    <w:rsid w:val="00CF7638"/>
    <w:rsid w:val="00D0172D"/>
    <w:rsid w:val="00D120DF"/>
    <w:rsid w:val="00D15F7F"/>
    <w:rsid w:val="00D178FA"/>
    <w:rsid w:val="00D23712"/>
    <w:rsid w:val="00D24E7A"/>
    <w:rsid w:val="00D27785"/>
    <w:rsid w:val="00D32F4B"/>
    <w:rsid w:val="00D429DB"/>
    <w:rsid w:val="00D451F0"/>
    <w:rsid w:val="00D52AB8"/>
    <w:rsid w:val="00D564CA"/>
    <w:rsid w:val="00D565EC"/>
    <w:rsid w:val="00D646A6"/>
    <w:rsid w:val="00D67003"/>
    <w:rsid w:val="00D74603"/>
    <w:rsid w:val="00D74FF3"/>
    <w:rsid w:val="00D75173"/>
    <w:rsid w:val="00D821CF"/>
    <w:rsid w:val="00D92FB4"/>
    <w:rsid w:val="00D943BD"/>
    <w:rsid w:val="00D96301"/>
    <w:rsid w:val="00DA0256"/>
    <w:rsid w:val="00DA1EE9"/>
    <w:rsid w:val="00DA5AF1"/>
    <w:rsid w:val="00DA75E7"/>
    <w:rsid w:val="00DB1E77"/>
    <w:rsid w:val="00DB20D7"/>
    <w:rsid w:val="00DD3394"/>
    <w:rsid w:val="00DD4497"/>
    <w:rsid w:val="00DD706A"/>
    <w:rsid w:val="00DE1A01"/>
    <w:rsid w:val="00DE3BD5"/>
    <w:rsid w:val="00DE526B"/>
    <w:rsid w:val="00DE589E"/>
    <w:rsid w:val="00DE7BA4"/>
    <w:rsid w:val="00DF0577"/>
    <w:rsid w:val="00DF3698"/>
    <w:rsid w:val="00DF3D18"/>
    <w:rsid w:val="00DF6BA4"/>
    <w:rsid w:val="00E01341"/>
    <w:rsid w:val="00E034A4"/>
    <w:rsid w:val="00E05701"/>
    <w:rsid w:val="00E126F9"/>
    <w:rsid w:val="00E13612"/>
    <w:rsid w:val="00E20C55"/>
    <w:rsid w:val="00E231FD"/>
    <w:rsid w:val="00E24759"/>
    <w:rsid w:val="00E271A9"/>
    <w:rsid w:val="00E27BD2"/>
    <w:rsid w:val="00E315A3"/>
    <w:rsid w:val="00E33840"/>
    <w:rsid w:val="00E4010E"/>
    <w:rsid w:val="00E41E15"/>
    <w:rsid w:val="00E44BDF"/>
    <w:rsid w:val="00E546B6"/>
    <w:rsid w:val="00E54F1E"/>
    <w:rsid w:val="00E56191"/>
    <w:rsid w:val="00E56CE8"/>
    <w:rsid w:val="00E631DE"/>
    <w:rsid w:val="00E661F8"/>
    <w:rsid w:val="00E6785C"/>
    <w:rsid w:val="00E67B06"/>
    <w:rsid w:val="00E75421"/>
    <w:rsid w:val="00E7750D"/>
    <w:rsid w:val="00E77B72"/>
    <w:rsid w:val="00E80F88"/>
    <w:rsid w:val="00E83823"/>
    <w:rsid w:val="00E86572"/>
    <w:rsid w:val="00E9075B"/>
    <w:rsid w:val="00E90FBA"/>
    <w:rsid w:val="00E917F7"/>
    <w:rsid w:val="00E92357"/>
    <w:rsid w:val="00E93F20"/>
    <w:rsid w:val="00E960B2"/>
    <w:rsid w:val="00EA0FDE"/>
    <w:rsid w:val="00EB2A0D"/>
    <w:rsid w:val="00EC6B09"/>
    <w:rsid w:val="00ED1FA2"/>
    <w:rsid w:val="00ED20E7"/>
    <w:rsid w:val="00EE0118"/>
    <w:rsid w:val="00EE1C6D"/>
    <w:rsid w:val="00EE2867"/>
    <w:rsid w:val="00EE781B"/>
    <w:rsid w:val="00EF0854"/>
    <w:rsid w:val="00EF483F"/>
    <w:rsid w:val="00EF781D"/>
    <w:rsid w:val="00F03E9C"/>
    <w:rsid w:val="00F03F43"/>
    <w:rsid w:val="00F072DB"/>
    <w:rsid w:val="00F07AF1"/>
    <w:rsid w:val="00F11785"/>
    <w:rsid w:val="00F122F7"/>
    <w:rsid w:val="00F1449E"/>
    <w:rsid w:val="00F14942"/>
    <w:rsid w:val="00F16141"/>
    <w:rsid w:val="00F20806"/>
    <w:rsid w:val="00F23AE1"/>
    <w:rsid w:val="00F23E27"/>
    <w:rsid w:val="00F25D24"/>
    <w:rsid w:val="00F322C4"/>
    <w:rsid w:val="00F404A6"/>
    <w:rsid w:val="00F408C2"/>
    <w:rsid w:val="00F410D1"/>
    <w:rsid w:val="00F41724"/>
    <w:rsid w:val="00F43A69"/>
    <w:rsid w:val="00F508F5"/>
    <w:rsid w:val="00F6001B"/>
    <w:rsid w:val="00F61F3B"/>
    <w:rsid w:val="00F67C58"/>
    <w:rsid w:val="00F756B2"/>
    <w:rsid w:val="00F7673C"/>
    <w:rsid w:val="00F805F6"/>
    <w:rsid w:val="00F80F16"/>
    <w:rsid w:val="00F833EA"/>
    <w:rsid w:val="00F87BD9"/>
    <w:rsid w:val="00F90B8A"/>
    <w:rsid w:val="00F91F3F"/>
    <w:rsid w:val="00F97596"/>
    <w:rsid w:val="00FA041C"/>
    <w:rsid w:val="00FB300C"/>
    <w:rsid w:val="00FB6E1F"/>
    <w:rsid w:val="00FC0516"/>
    <w:rsid w:val="00FD186D"/>
    <w:rsid w:val="00FD38EE"/>
    <w:rsid w:val="00FE3E78"/>
    <w:rsid w:val="00FE5441"/>
    <w:rsid w:val="00FE5CFC"/>
    <w:rsid w:val="00FF2C00"/>
    <w:rsid w:val="00FF54F5"/>
    <w:rsid w:val="00FF660C"/>
    <w:rsid w:val="00FF6A6C"/>
    <w:rsid w:val="00FF6F3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D753"/>
  <w15:docId w15:val="{DAEDCA6E-29A7-43A4-AF05-BD56CB75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qFormat="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A09"/>
    <w:pPr>
      <w:spacing w:after="0"/>
    </w:pPr>
    <w:rPr>
      <w:rFonts w:ascii="Times New Roman" w:eastAsia="Times New Roman" w:hAnsi="Times New Roman" w:cs="Times New Roman"/>
    </w:rPr>
  </w:style>
  <w:style w:type="paragraph" w:styleId="Heading1">
    <w:name w:val="heading 1"/>
    <w:basedOn w:val="Normal"/>
    <w:next w:val="BodyText"/>
    <w:uiPriority w:val="9"/>
    <w:qFormat/>
    <w:pPr>
      <w:keepNext/>
      <w:keepLines/>
      <w:spacing w:before="48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rPr>
      <w:rFonts w:asciiTheme="minorHAnsi" w:eastAsiaTheme="minorHAnsi" w:hAnsiTheme="minorHAnsi" w:cstheme="minorBidi"/>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rFonts w:asciiTheme="minorHAnsi" w:eastAsiaTheme="minorHAnsi" w:hAnsiTheme="minorHAnsi" w:cstheme="minorBidi"/>
      <w:sz w:val="20"/>
      <w:szCs w:val="20"/>
    </w:rPr>
  </w:style>
  <w:style w:type="paragraph" w:styleId="Bibliography">
    <w:name w:val="Bibliography"/>
    <w:basedOn w:val="Normal"/>
    <w:qFormat/>
    <w:pPr>
      <w:spacing w:after="200"/>
    </w:pPr>
    <w:rPr>
      <w:rFonts w:asciiTheme="minorHAnsi" w:eastAsiaTheme="minorHAnsi" w:hAnsiTheme="minorHAnsi" w:cstheme="minorBidi"/>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pPr>
      <w:spacing w:after="200"/>
    </w:pPr>
    <w:rPr>
      <w:rFonts w:asciiTheme="minorHAnsi" w:eastAsiaTheme="minorHAnsi" w:hAnsiTheme="minorHAnsi" w:cstheme="minorBidi"/>
    </w:rPr>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pPr>
    <w:rPr>
      <w:rFonts w:asciiTheme="minorHAnsi" w:eastAsiaTheme="minorHAnsi" w:hAnsiTheme="minorHAnsi" w:cstheme="minorBidi"/>
      <w:b/>
    </w:rPr>
  </w:style>
  <w:style w:type="paragraph" w:customStyle="1" w:styleId="Definition">
    <w:name w:val="Definition"/>
    <w:basedOn w:val="Normal"/>
    <w:pPr>
      <w:spacing w:after="200"/>
    </w:pPr>
    <w:rPr>
      <w:rFonts w:asciiTheme="minorHAnsi" w:eastAsiaTheme="minorHAnsi" w:hAnsiTheme="minorHAnsi" w:cstheme="minorBidi"/>
    </w:rPr>
  </w:style>
  <w:style w:type="paragraph" w:styleId="Caption">
    <w:name w:val="caption"/>
    <w:basedOn w:val="Normal"/>
    <w:link w:val="CaptionChar"/>
    <w:pPr>
      <w:spacing w:after="120"/>
    </w:pPr>
    <w:rPr>
      <w:rFonts w:asciiTheme="minorHAnsi" w:eastAsiaTheme="minorHAnsi" w:hAnsiTheme="minorHAnsi" w:cstheme="minorBidi"/>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pPr>
      <w:spacing w:after="200"/>
    </w:pPr>
    <w:rPr>
      <w:rFonts w:asciiTheme="minorHAnsi" w:eastAsiaTheme="minorHAnsi" w:hAnsiTheme="minorHAnsi" w:cstheme="minorBidi"/>
    </w:rPr>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uiPriority w:val="99"/>
    <w:rPr>
      <w:vertAlign w:val="superscript"/>
    </w:rPr>
  </w:style>
  <w:style w:type="character" w:styleId="Hyperlink">
    <w:name w:val="Hyperlink"/>
    <w:basedOn w:val="CaptionChar"/>
    <w:uiPriority w:val="99"/>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spacing w:after="200"/>
    </w:pPr>
    <w:rPr>
      <w:rFonts w:asciiTheme="minorHAnsi" w:eastAsiaTheme="minorHAnsi" w:hAnsiTheme="minorHAnsi" w:cstheme="minorBidi"/>
    </w:r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ListParagraph">
    <w:name w:val="List Paragraph"/>
    <w:basedOn w:val="Normal"/>
    <w:rsid w:val="00D0172D"/>
    <w:pPr>
      <w:spacing w:after="200"/>
      <w:ind w:left="720"/>
      <w:contextualSpacing/>
    </w:pPr>
    <w:rPr>
      <w:rFonts w:asciiTheme="minorHAnsi" w:eastAsiaTheme="minorHAnsi" w:hAnsiTheme="minorHAnsi" w:cstheme="minorBidi"/>
    </w:rPr>
  </w:style>
  <w:style w:type="paragraph" w:styleId="Header">
    <w:name w:val="header"/>
    <w:basedOn w:val="Normal"/>
    <w:link w:val="HeaderChar"/>
    <w:unhideWhenUsed/>
    <w:rsid w:val="00EE781B"/>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rsid w:val="00EE781B"/>
  </w:style>
  <w:style w:type="paragraph" w:styleId="Footer">
    <w:name w:val="footer"/>
    <w:basedOn w:val="Normal"/>
    <w:link w:val="FooterChar"/>
    <w:uiPriority w:val="99"/>
    <w:unhideWhenUsed/>
    <w:rsid w:val="00EE781B"/>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EE781B"/>
  </w:style>
  <w:style w:type="character" w:styleId="FollowedHyperlink">
    <w:name w:val="FollowedHyperlink"/>
    <w:basedOn w:val="DefaultParagraphFont"/>
    <w:rsid w:val="00BF29EB"/>
    <w:rPr>
      <w:color w:val="800080" w:themeColor="followedHyperlink"/>
      <w:u w:val="single"/>
    </w:rPr>
  </w:style>
  <w:style w:type="paragraph" w:styleId="BalloonText">
    <w:name w:val="Balloon Text"/>
    <w:basedOn w:val="Normal"/>
    <w:link w:val="BalloonTextChar"/>
    <w:semiHidden/>
    <w:unhideWhenUsed/>
    <w:rsid w:val="00BF29EB"/>
    <w:rPr>
      <w:rFonts w:ascii="Segoe UI" w:eastAsiaTheme="minorHAnsi" w:hAnsi="Segoe UI" w:cs="Segoe UI"/>
      <w:sz w:val="18"/>
      <w:szCs w:val="18"/>
    </w:rPr>
  </w:style>
  <w:style w:type="character" w:customStyle="1" w:styleId="BalloonTextChar">
    <w:name w:val="Balloon Text Char"/>
    <w:basedOn w:val="DefaultParagraphFont"/>
    <w:link w:val="BalloonText"/>
    <w:semiHidden/>
    <w:rsid w:val="00BF29EB"/>
    <w:rPr>
      <w:rFonts w:ascii="Segoe UI" w:hAnsi="Segoe UI" w:cs="Segoe UI"/>
      <w:sz w:val="18"/>
      <w:szCs w:val="18"/>
    </w:rPr>
  </w:style>
  <w:style w:type="paragraph" w:styleId="Revision">
    <w:name w:val="Revision"/>
    <w:hidden/>
    <w:semiHidden/>
    <w:rsid w:val="00E960B2"/>
    <w:pPr>
      <w:spacing w:after="0"/>
    </w:pPr>
  </w:style>
  <w:style w:type="character" w:styleId="UnresolvedMention">
    <w:name w:val="Unresolved Mention"/>
    <w:basedOn w:val="DefaultParagraphFont"/>
    <w:uiPriority w:val="99"/>
    <w:semiHidden/>
    <w:unhideWhenUsed/>
    <w:rsid w:val="001B77B4"/>
    <w:rPr>
      <w:color w:val="605E5C"/>
      <w:shd w:val="clear" w:color="auto" w:fill="E1DFDD"/>
    </w:rPr>
  </w:style>
  <w:style w:type="character" w:styleId="CommentReference">
    <w:name w:val="annotation reference"/>
    <w:basedOn w:val="DefaultParagraphFont"/>
    <w:semiHidden/>
    <w:unhideWhenUsed/>
    <w:rsid w:val="00F7673C"/>
    <w:rPr>
      <w:sz w:val="16"/>
      <w:szCs w:val="16"/>
    </w:rPr>
  </w:style>
  <w:style w:type="paragraph" w:styleId="CommentText">
    <w:name w:val="annotation text"/>
    <w:basedOn w:val="Normal"/>
    <w:link w:val="CommentTextChar"/>
    <w:semiHidden/>
    <w:unhideWhenUsed/>
    <w:rsid w:val="00F7673C"/>
    <w:rPr>
      <w:sz w:val="20"/>
      <w:szCs w:val="20"/>
    </w:rPr>
  </w:style>
  <w:style w:type="character" w:customStyle="1" w:styleId="CommentTextChar">
    <w:name w:val="Comment Text Char"/>
    <w:basedOn w:val="DefaultParagraphFont"/>
    <w:link w:val="CommentText"/>
    <w:semiHidden/>
    <w:rsid w:val="00F7673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F7673C"/>
    <w:rPr>
      <w:b/>
      <w:bCs/>
    </w:rPr>
  </w:style>
  <w:style w:type="character" w:customStyle="1" w:styleId="CommentSubjectChar">
    <w:name w:val="Comment Subject Char"/>
    <w:basedOn w:val="CommentTextChar"/>
    <w:link w:val="CommentSubject"/>
    <w:semiHidden/>
    <w:rsid w:val="00F7673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26954">
      <w:bodyDiv w:val="1"/>
      <w:marLeft w:val="0"/>
      <w:marRight w:val="0"/>
      <w:marTop w:val="0"/>
      <w:marBottom w:val="0"/>
      <w:divBdr>
        <w:top w:val="none" w:sz="0" w:space="0" w:color="auto"/>
        <w:left w:val="none" w:sz="0" w:space="0" w:color="auto"/>
        <w:bottom w:val="none" w:sz="0" w:space="0" w:color="auto"/>
        <w:right w:val="none" w:sz="0" w:space="0" w:color="auto"/>
      </w:divBdr>
    </w:div>
    <w:div w:id="291257295">
      <w:bodyDiv w:val="1"/>
      <w:marLeft w:val="0"/>
      <w:marRight w:val="0"/>
      <w:marTop w:val="0"/>
      <w:marBottom w:val="0"/>
      <w:divBdr>
        <w:top w:val="none" w:sz="0" w:space="0" w:color="auto"/>
        <w:left w:val="none" w:sz="0" w:space="0" w:color="auto"/>
        <w:bottom w:val="none" w:sz="0" w:space="0" w:color="auto"/>
        <w:right w:val="none" w:sz="0" w:space="0" w:color="auto"/>
      </w:divBdr>
    </w:div>
    <w:div w:id="372509880">
      <w:bodyDiv w:val="1"/>
      <w:marLeft w:val="0"/>
      <w:marRight w:val="0"/>
      <w:marTop w:val="0"/>
      <w:marBottom w:val="0"/>
      <w:divBdr>
        <w:top w:val="none" w:sz="0" w:space="0" w:color="auto"/>
        <w:left w:val="none" w:sz="0" w:space="0" w:color="auto"/>
        <w:bottom w:val="none" w:sz="0" w:space="0" w:color="auto"/>
        <w:right w:val="none" w:sz="0" w:space="0" w:color="auto"/>
      </w:divBdr>
    </w:div>
    <w:div w:id="506291624">
      <w:bodyDiv w:val="1"/>
      <w:marLeft w:val="0"/>
      <w:marRight w:val="0"/>
      <w:marTop w:val="0"/>
      <w:marBottom w:val="0"/>
      <w:divBdr>
        <w:top w:val="none" w:sz="0" w:space="0" w:color="auto"/>
        <w:left w:val="none" w:sz="0" w:space="0" w:color="auto"/>
        <w:bottom w:val="none" w:sz="0" w:space="0" w:color="auto"/>
        <w:right w:val="none" w:sz="0" w:space="0" w:color="auto"/>
      </w:divBdr>
    </w:div>
    <w:div w:id="840697501">
      <w:bodyDiv w:val="1"/>
      <w:marLeft w:val="0"/>
      <w:marRight w:val="0"/>
      <w:marTop w:val="0"/>
      <w:marBottom w:val="0"/>
      <w:divBdr>
        <w:top w:val="none" w:sz="0" w:space="0" w:color="auto"/>
        <w:left w:val="none" w:sz="0" w:space="0" w:color="auto"/>
        <w:bottom w:val="none" w:sz="0" w:space="0" w:color="auto"/>
        <w:right w:val="none" w:sz="0" w:space="0" w:color="auto"/>
      </w:divBdr>
      <w:divsChild>
        <w:div w:id="930771077">
          <w:marLeft w:val="0"/>
          <w:marRight w:val="0"/>
          <w:marTop w:val="0"/>
          <w:marBottom w:val="0"/>
          <w:divBdr>
            <w:top w:val="none" w:sz="0" w:space="0" w:color="auto"/>
            <w:left w:val="none" w:sz="0" w:space="0" w:color="auto"/>
            <w:bottom w:val="none" w:sz="0" w:space="0" w:color="auto"/>
            <w:right w:val="none" w:sz="0" w:space="0" w:color="auto"/>
          </w:divBdr>
        </w:div>
        <w:div w:id="1333988627">
          <w:marLeft w:val="0"/>
          <w:marRight w:val="0"/>
          <w:marTop w:val="0"/>
          <w:marBottom w:val="0"/>
          <w:divBdr>
            <w:top w:val="none" w:sz="0" w:space="0" w:color="auto"/>
            <w:left w:val="none" w:sz="0" w:space="0" w:color="auto"/>
            <w:bottom w:val="none" w:sz="0" w:space="0" w:color="auto"/>
            <w:right w:val="none" w:sz="0" w:space="0" w:color="auto"/>
          </w:divBdr>
        </w:div>
        <w:div w:id="671420745">
          <w:marLeft w:val="0"/>
          <w:marRight w:val="0"/>
          <w:marTop w:val="0"/>
          <w:marBottom w:val="0"/>
          <w:divBdr>
            <w:top w:val="none" w:sz="0" w:space="0" w:color="auto"/>
            <w:left w:val="none" w:sz="0" w:space="0" w:color="auto"/>
            <w:bottom w:val="none" w:sz="0" w:space="0" w:color="auto"/>
            <w:right w:val="none" w:sz="0" w:space="0" w:color="auto"/>
          </w:divBdr>
        </w:div>
      </w:divsChild>
    </w:div>
    <w:div w:id="918750482">
      <w:bodyDiv w:val="1"/>
      <w:marLeft w:val="0"/>
      <w:marRight w:val="0"/>
      <w:marTop w:val="0"/>
      <w:marBottom w:val="0"/>
      <w:divBdr>
        <w:top w:val="none" w:sz="0" w:space="0" w:color="auto"/>
        <w:left w:val="none" w:sz="0" w:space="0" w:color="auto"/>
        <w:bottom w:val="none" w:sz="0" w:space="0" w:color="auto"/>
        <w:right w:val="none" w:sz="0" w:space="0" w:color="auto"/>
      </w:divBdr>
    </w:div>
    <w:div w:id="1370296351">
      <w:bodyDiv w:val="1"/>
      <w:marLeft w:val="0"/>
      <w:marRight w:val="0"/>
      <w:marTop w:val="0"/>
      <w:marBottom w:val="0"/>
      <w:divBdr>
        <w:top w:val="none" w:sz="0" w:space="0" w:color="auto"/>
        <w:left w:val="none" w:sz="0" w:space="0" w:color="auto"/>
        <w:bottom w:val="none" w:sz="0" w:space="0" w:color="auto"/>
        <w:right w:val="none" w:sz="0" w:space="0" w:color="auto"/>
      </w:divBdr>
    </w:div>
    <w:div w:id="1519924753">
      <w:bodyDiv w:val="1"/>
      <w:marLeft w:val="0"/>
      <w:marRight w:val="0"/>
      <w:marTop w:val="0"/>
      <w:marBottom w:val="0"/>
      <w:divBdr>
        <w:top w:val="none" w:sz="0" w:space="0" w:color="auto"/>
        <w:left w:val="none" w:sz="0" w:space="0" w:color="auto"/>
        <w:bottom w:val="none" w:sz="0" w:space="0" w:color="auto"/>
        <w:right w:val="none" w:sz="0" w:space="0" w:color="auto"/>
      </w:divBdr>
    </w:div>
    <w:div w:id="1679846522">
      <w:bodyDiv w:val="1"/>
      <w:marLeft w:val="0"/>
      <w:marRight w:val="0"/>
      <w:marTop w:val="0"/>
      <w:marBottom w:val="0"/>
      <w:divBdr>
        <w:top w:val="none" w:sz="0" w:space="0" w:color="auto"/>
        <w:left w:val="none" w:sz="0" w:space="0" w:color="auto"/>
        <w:bottom w:val="none" w:sz="0" w:space="0" w:color="auto"/>
        <w:right w:val="none" w:sz="0" w:space="0" w:color="auto"/>
      </w:divBdr>
    </w:div>
    <w:div w:id="1953202016">
      <w:bodyDiv w:val="1"/>
      <w:marLeft w:val="0"/>
      <w:marRight w:val="0"/>
      <w:marTop w:val="0"/>
      <w:marBottom w:val="0"/>
      <w:divBdr>
        <w:top w:val="none" w:sz="0" w:space="0" w:color="auto"/>
        <w:left w:val="none" w:sz="0" w:space="0" w:color="auto"/>
        <w:bottom w:val="none" w:sz="0" w:space="0" w:color="auto"/>
        <w:right w:val="none" w:sz="0" w:space="0" w:color="auto"/>
      </w:divBdr>
    </w:div>
    <w:div w:id="2060667480">
      <w:bodyDiv w:val="1"/>
      <w:marLeft w:val="0"/>
      <w:marRight w:val="0"/>
      <w:marTop w:val="0"/>
      <w:marBottom w:val="0"/>
      <w:divBdr>
        <w:top w:val="none" w:sz="0" w:space="0" w:color="auto"/>
        <w:left w:val="none" w:sz="0" w:space="0" w:color="auto"/>
        <w:bottom w:val="none" w:sz="0" w:space="0" w:color="auto"/>
        <w:right w:val="none" w:sz="0" w:space="0" w:color="auto"/>
      </w:divBdr>
      <w:divsChild>
        <w:div w:id="1727223787">
          <w:marLeft w:val="0"/>
          <w:marRight w:val="0"/>
          <w:marTop w:val="0"/>
          <w:marBottom w:val="0"/>
          <w:divBdr>
            <w:top w:val="single" w:sz="6" w:space="8" w:color="BBBBBB"/>
            <w:left w:val="single" w:sz="6" w:space="8" w:color="BBBBBB"/>
            <w:bottom w:val="single" w:sz="6" w:space="8" w:color="BBBBBB"/>
            <w:right w:val="single" w:sz="6" w:space="8" w:color="BBBBBB"/>
          </w:divBdr>
          <w:divsChild>
            <w:div w:id="1693335999">
              <w:marLeft w:val="0"/>
              <w:marRight w:val="0"/>
              <w:marTop w:val="0"/>
              <w:marBottom w:val="0"/>
              <w:divBdr>
                <w:top w:val="single" w:sz="6" w:space="8" w:color="BBBBBB"/>
                <w:left w:val="single" w:sz="6" w:space="8" w:color="BBBBBB"/>
                <w:bottom w:val="single" w:sz="6" w:space="8" w:color="BBBBBB"/>
                <w:right w:val="single" w:sz="6" w:space="8" w:color="BBBBBB"/>
              </w:divBdr>
              <w:divsChild>
                <w:div w:id="1147940263">
                  <w:marLeft w:val="0"/>
                  <w:marRight w:val="0"/>
                  <w:marTop w:val="0"/>
                  <w:marBottom w:val="0"/>
                  <w:divBdr>
                    <w:top w:val="single" w:sz="6" w:space="8" w:color="BBBBBB"/>
                    <w:left w:val="single" w:sz="6" w:space="8" w:color="BBBBBB"/>
                    <w:bottom w:val="single" w:sz="6" w:space="8" w:color="BBBBBB"/>
                    <w:right w:val="single" w:sz="6" w:space="8" w:color="BBBBBB"/>
                  </w:divBdr>
                  <w:divsChild>
                    <w:div w:id="1082526058">
                      <w:marLeft w:val="0"/>
                      <w:marRight w:val="0"/>
                      <w:marTop w:val="0"/>
                      <w:marBottom w:val="0"/>
                      <w:divBdr>
                        <w:top w:val="none" w:sz="0" w:space="0" w:color="auto"/>
                        <w:left w:val="none" w:sz="0" w:space="0" w:color="auto"/>
                        <w:bottom w:val="none" w:sz="0" w:space="0" w:color="auto"/>
                        <w:right w:val="none" w:sz="0" w:space="0" w:color="auto"/>
                      </w:divBdr>
                      <w:divsChild>
                        <w:div w:id="1022434361">
                          <w:marLeft w:val="75"/>
                          <w:marRight w:val="0"/>
                          <w:marTop w:val="0"/>
                          <w:marBottom w:val="7500"/>
                          <w:divBdr>
                            <w:top w:val="none" w:sz="0" w:space="0" w:color="auto"/>
                            <w:left w:val="none" w:sz="0" w:space="0" w:color="auto"/>
                            <w:bottom w:val="none" w:sz="0" w:space="0" w:color="auto"/>
                            <w:right w:val="none" w:sz="0" w:space="0" w:color="auto"/>
                          </w:divBdr>
                        </w:div>
                      </w:divsChild>
                    </w:div>
                  </w:divsChild>
                </w:div>
              </w:divsChild>
            </w:div>
          </w:divsChild>
        </w:div>
      </w:divsChild>
    </w:div>
    <w:div w:id="2075659511">
      <w:bodyDiv w:val="1"/>
      <w:marLeft w:val="0"/>
      <w:marRight w:val="0"/>
      <w:marTop w:val="0"/>
      <w:marBottom w:val="0"/>
      <w:divBdr>
        <w:top w:val="none" w:sz="0" w:space="0" w:color="auto"/>
        <w:left w:val="none" w:sz="0" w:space="0" w:color="auto"/>
        <w:bottom w:val="none" w:sz="0" w:space="0" w:color="auto"/>
        <w:right w:val="none" w:sz="0" w:space="0" w:color="auto"/>
      </w:divBdr>
    </w:div>
    <w:div w:id="21178660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mas@pajak.go.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ajak.go.id/hubungi-k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C7458-4AF9-4B0C-A362-6024D77C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1733</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Arianna</dc:creator>
  <cp:keywords/>
  <cp:lastModifiedBy>Felix, Mayara</cp:lastModifiedBy>
  <cp:revision>3</cp:revision>
  <dcterms:created xsi:type="dcterms:W3CDTF">2021-09-10T13:29:00Z</dcterms:created>
  <dcterms:modified xsi:type="dcterms:W3CDTF">2021-09-10T13:29:00Z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ibutors">
    <vt:lpwstr/>
  </property>
</Properties>
</file>